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BG.2004.20 vom 14. März 2005</w:t>
      </w:r>
    </w:p>
    <w:p>
      <w:r>
        <w:t>Bundesstrafgericht, 2005-03-14, IT</w:t>
      </w:r>
    </w:p>
    <w:p>
      <w:r>
        <w:rPr>
          <w:b/>
        </w:rPr>
        <w:t xml:space="preserve">Quelle: </w:t>
      </w:r>
      <w:r>
        <w:t>https://mcp.opencaselaw.ch/entscheid/bstger_BG.2004.20</w:t>
      </w:r>
    </w:p>
    <w:p>
      <w:r>
        <w:t>FR: TPF BG.2004.20 du 14 mars 2005</w:t>
      </w:r>
    </w:p>
    <w:p>
      <w:r>
        <w:t>IT: TPF BG.2004.20 del 14 marzo 2005</w:t>
      </w:r>
    </w:p>
    <w:p>
      <w:pPr>
        <w:pStyle w:val="Heading2"/>
      </w:pPr>
      <w:r>
        <w:t>Regeste</w:t>
      </w:r>
    </w:p>
    <w:p>
      <w:r>
        <w:t>Istanza di designazione del foro (art. 260 e 279 PP, art. 348 CP)</w:t>
      </w:r>
    </w:p>
    <w:p>
      <w:pPr>
        <w:pStyle w:val="Heading2"/>
      </w:pPr>
      <w:r>
        <w:t>Erwägungen</w:t>
      </w:r>
    </w:p>
    <w:p>
      <w:r>
        <w:rPr>
          <w:b/>
        </w:rPr>
        <w:t>E. 1</w:t>
      </w:r>
    </w:p>
    <w:p>
      <w:r>
        <w:t>La Corte dei reclami penali del Tribunale penale federale è competente per statuire su un conflitto negativo di competenza tra la Confederazione ed un cantone (art. 260 e 279 PP; art. 28 cpv. 1 lett. g LTPF).</w:t>
      </w:r>
    </w:p>
    <w:p>
      <w:r>
        <w:rPr>
          <w:b/>
        </w:rPr>
        <w:t>E. 2</w:t>
      </w:r>
    </w:p>
    <w:p>
      <w:r>
        <w:t>Dal 1° gennaio 2002, la Confederazione è competente per giudicare i reati previsti all’art. 260ter CP, nonché i crimini commessi da un’organizzazione criminale ai sensi dell’art. 260ter CP, a condizione che i reati siano stati commessi prevalentemente all’estero (art. 340bis n. 1 lett. a CP).</w:t>
      </w:r>
    </w:p>
    <w:p>
      <w:r>
        <w:rPr>
          <w:b/>
        </w:rPr>
        <w:t>E. 2.1</w:t>
      </w:r>
    </w:p>
    <w:p>
      <w:r>
        <w:t>Distinguendo, da un lato, i reati previsti all’art. 260ter CP e, d’altro lato, i crimini commessi da un’organizzazione criminale ai sensi dell’art. 260ter</w:t>
      </w:r>
    </w:p>
    <w:p>
      <w:r>
        <w:t>- 4 -</w:t>
      </w:r>
    </w:p>
    <w:p>
      <w:r>
        <w:t>CP, il legislatore ha ritenuto che la competenza federale non si limitava agli atti punibili nell’ambito di tale disposizione, ma che la medesima si esten- desse a tutti i crimini commessi da un’organizzazione criminale, la cui no- zione è definita all’art. 260ter CP. In altre parole, la competenza federale non presuppone che il reato previsto all’art. 260ter CP sia perseguibile in concorso con i crimini commessi per una parte preponderante all’estero. È sufficiente che tali crimini siano stati commessi nell’ambito di un’organizzazione che tiene segreti la sua struttura ed il suo effettivo e che persegua lo scopo di commettere degli atti di violenza criminale (cfr. FF 1998 II pag. 1268; BÄNZIGER/LEIMGRUBER, Le nouvel engagement de la Confédération dans la poursuite pénale, Berne 2001, pag. 61 n. 51; G. NAY, in NIGGLI/WIPRÄCHTIGER, Basler Kommentar, Strafgesetzbuch II, Basilea 2003, n. 3 ad art. 340bis CP).</w:t>
      </w:r>
    </w:p>
    <w:p>
      <w:r>
        <w:rPr>
          <w:b/>
        </w:rPr>
        <w:t>E. 2.2</w:t>
      </w:r>
    </w:p>
    <w:p>
      <w:r>
        <w:t>Le parti non contestano che l’organizzazione terrorista delle “Brigate Ros- se” corrisponda alla definizione dell’art. 260ter CP. Quindi, il fatto che tale disposizione non sia applicabile, in quanto non in vigore all’epoca dei crimi- ni commessi in Italia, non funge da ostacolo alla competenza federale.</w:t>
      </w:r>
    </w:p>
    <w:p>
      <w:r>
        <w:rPr>
          <w:b/>
        </w:rPr>
        <w:t>E. 3</w:t>
      </w:r>
    </w:p>
    <w:p>
      <w:r>
        <w:t>supra), non resta che analizzare se le condizioni poste per una tale ecce- zione sono realizzate.</w:t>
      </w:r>
    </w:p>
    <w:p>
      <w:r>
        <w:rPr>
          <w:b/>
        </w:rPr>
        <w:t>E. 3.1</w:t>
      </w:r>
    </w:p>
    <w:p>
      <w:r>
        <w:t>Il procedimento penale nei confronti di B.______ è stato avviato in Ticino nel 1988. Esso è stato sospeso nel 1989 con una decisione che costituisce in realtà un non luogo a procedere ai sensi dell’art. 144 del Codice di pro- cedura penale ticinese (CPP/TI), nel suo tenore dell’epoca, e dell’art. 185 CPP/TI attualmente in vigore. Tale decisione è fondata sull’assenza di pro- ve sufficienti. Si tratta dunque di un non luogo a procedere fondato su con- siderazioni di fatto. Orbene, un tale non luogo a procedere non è cresciuto in giudicato e non mette un termine definitivo al procedimento penale. Que- sto può essere riaperto in ogni momento, nella misura in cui non subentra la prescrizione, se sono scoperte nuove prove (art. 187 CPP/TI; PIQUEREZ, Procédure pénale suisse, Traité théorique et pratique, Zurigo 2000, n. 2952, 2960, 2987-2990; SCHMID, Strafprozessrecht, 4a ed., n. 810; SCHMID,</w:t>
      </w:r>
    </w:p>
    <w:p>
      <w:r>
        <w:t>- 5 -</w:t>
      </w:r>
    </w:p>
    <w:p>
      <w:r>
        <w:t>Die Wiederaufnahme des Verfahrens nach Nichthandnahme oder Einstel- lung des Strafverfahrens, in RPS 108/1991 pag. 251 e segg., spec. 260). Se ne deduce che la causa è ancora pendente in Ticino e che dunque, se- condo la giurisprudenza citata in precedenza, solo una deroga eccezionale al foro legale potrebbe giustificare il trasferimento del procedimento all’autorità federale.</w:t>
      </w:r>
    </w:p>
    <w:p>
      <w:r>
        <w:rPr>
          <w:b/>
        </w:rPr>
        <w:t>E. 3.2</w:t>
      </w:r>
    </w:p>
    <w:p>
      <w:r>
        <w:t>Se ci si attiene rigorosamente al testo legale (art. 262 cpv. 3 e 263 cpv. 3 PP), una deroga al foro legale è possibile unicamente in caso di pluralità di autori (art. 349 CP) o di concorso di reati (art. 350 CP), ipotesi che non so- no qui realizzate. Nella fattispecie, in effetti, trattandosi di crimini commessi all’estero, il foro in Svizzera è regolato dall’art. 348 CP. La giurisprudenza e la dottrina, tuttavia, ammettono che una deroga al foro legale è ugualmente possibile in altri casi che quelli previsti dagli art. 349 e 350 CP (SCHWE- RI/BÄNZINGER, Interkantonale Gerichtsstandsbestimmung in Strafsachen, 2a ed., Berna 2004, n. 422 ss). In ogni caso tuttavia, un punto di collegamento deve esistere con il cantone nel quale il foro è finalmente fissato (SCHWE- RI/BÄNZINGER, op. cit., n. 428; DTF 120 IV 280, consid. 2b, pag. 282).</w:t>
      </w:r>
    </w:p>
    <w:p>
      <w:r>
        <w:rPr>
          <w:b/>
        </w:rPr>
        <w:t>E. 3.3</w:t>
      </w:r>
    </w:p>
    <w:p>
      <w:r>
        <w:t>Secondo l’art. 348 CP, il foro legale per i crimini commessi all’estero si tro- va nel luogo di residenza dell’autore, sussidiariamente nel suo luogo di ori- gine e ancor più sussidiariamente nel luogo del suo arresto. Dal momento in cui, nel 1988, B.______ risiedeva in Ticino, la competenza di questo can- tone è dunque manifestamente data. La competenza della Confederazione potendo tuttavia rientrare in linea di conto a titolo “eccezionale” (cfr. consid.</w:t>
      </w:r>
    </w:p>
    <w:p>
      <w:r>
        <w:rPr>
          <w:b/>
        </w:rPr>
        <w:t>E. 3.4</w:t>
      </w:r>
    </w:p>
    <w:p>
      <w:r>
        <w:t>Una deroga al foro legale deve fondarsi su delle ragioni assolute, destinate a soddisfare degli imperativi legati alla celerità del procedimento o all’economia di procedura. La giurisprudenza ha così ammesso che, con- trariamente al testo legislativo, il foro può essere fissato nel centro di gravi- tà dell’attività delittuosa oppure nel luogo dove è possibile effettuare una seria economia nella raccolta delle prove. La lingua parlata dall’autore è stata ugualmente, occasionalmente, ammessa per giustificare una deroga (cfr. DTF 129 IV 202, consid. 2, pagg. 203-204, con riferimenti citati). Nel caso concreto, il MP/TI non giustifica con nessuno dei motivi appena elen- cati la deroga in questione. Nella sua richiesta (v. act. 1, pag. 6), egli invoca anzitutto l’assenza di atti procedurali posteriori al decreto di sospensione ed il fatto che nessun magistrato ticinese a conoscenza della causa è anco- ra in funzione presso il MP/TI. Tali argomenti sono però valevoli anche per il MPC. In seguito, il MP/TI invoca la necessità di inoltrare delle commissio-</w:t>
      </w:r>
    </w:p>
    <w:p>
      <w:r>
        <w:t>- 6 -</w:t>
      </w:r>
    </w:p>
    <w:p>
      <w:r>
        <w:t>ni rogatorie all’Italia. Ma anche in questo ambito non si vede per quale mo- tivo il MPC sarebbe meglio posizionato dell’autorità cantonale per trattare con le autorità italiane. Infine, il MP/TI menziona il proprio sovraccarico di lavoro. Anche supponendo che il MPC disponga di mezzi superiori, un tale argomento non sarebbe sufficiente per giustificare un’eccezione al foro le- gale. Il MP/TI aggiunge che l’obbligo di condurre la procedura in lingua ita- liana non basterebbe per rifiutare un trasferimento di competenza al MPC. Ciò corrisponde senza dubbio alla realtà, ma il problema non è di sapere se il MPC può rifiutare, ma appurare se si giustifica una deroga eccezionale al foro legale ticinese.</w:t>
      </w:r>
    </w:p>
    <w:p>
      <w:r>
        <w:rPr>
          <w:b/>
        </w:rPr>
        <w:t>E. 4</w:t>
      </w:r>
    </w:p>
    <w:p>
      <w:r>
        <w:t>Il foro per l’eventuale perseguimento di B.______ in relazione ai crimini commessi nell’ambito del “caso Moro” resta dunque fissato in Ticino. Sarà compito del MP/TI decidere se è il caso, in applicazione dell’art. 187 CPP/TI, di riaprire o meno il procedimento sospeso nel 1989. Non compete alla Corte dei reclami penali dire se le condizioni di una tale riapertura sono realizzate nel caso concreto.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