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BE.2026.3 vom 12. März 2026</w:t>
      </w:r>
    </w:p>
    <w:p>
      <w:r>
        <w:t>Bundesstrafgericht, 2026-03-12, FR</w:t>
      </w:r>
    </w:p>
    <w:p>
      <w:r>
        <w:rPr>
          <w:b/>
        </w:rPr>
        <w:t xml:space="preserve">Quelle: </w:t>
      </w:r>
      <w:r>
        <w:t>https://mcp.opencaselaw.ch/entscheid/bstger_BE.2026.3</w:t>
      </w:r>
    </w:p>
    <w:p>
      <w:r>
        <w:t>FR: TPF BE.2026.3 du 12 mars 2026</w:t>
      </w:r>
    </w:p>
    <w:p>
      <w:r>
        <w:t>IT: TPF BE.2026.3 del 12 marzo 2026</w:t>
      </w:r>
    </w:p>
    <w:p>
      <w:pPr>
        <w:pStyle w:val="Heading2"/>
      </w:pPr>
      <w:r>
        <w:t>Regeste</w:t>
      </w:r>
    </w:p>
    <w:p>
      <w:r>
        <w:t>Levées des scellés (art. 50 al. 3 DPA)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LOAP).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