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BE.2025.5 vom 30. April 2025</w:t>
      </w:r>
    </w:p>
    <w:p>
      <w:r>
        <w:t>Bundesstrafgericht, 2025-04-30, DE</w:t>
      </w:r>
    </w:p>
    <w:p>
      <w:r>
        <w:rPr>
          <w:b/>
        </w:rPr>
        <w:t xml:space="preserve">Quelle: </w:t>
      </w:r>
      <w:r>
        <w:t>https://mcp.opencaselaw.ch/entscheid/bstger_BE.2025.5</w:t>
      </w:r>
    </w:p>
    <w:p>
      <w:r>
        <w:t>FR: TPF BE.2025.5 du 30 avril 2025</w:t>
      </w:r>
    </w:p>
    <w:p>
      <w:r>
        <w:t>IT: TPF BE.2025.5 del 30 aprile 2025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Dezember 2024 E. 2.9, zur Publikation vorgeschlagen), d.h. in der Zoll- strafuntersuchung Nr. 71-2023.29809 des Gesuchstellers;</w:t>
      </w:r>
    </w:p>
    <w:p>
      <w:r>
        <w:t>- die Gerichtsgebühr auf Fr. 500.– festzusetzen ist (vgl. Art. 73 Abs. 2 und 3 StBOG);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