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BE.2025.21 vom 24. Februar 2026</w:t>
      </w:r>
    </w:p>
    <w:p>
      <w:r>
        <w:t>Bundesstrafgericht, 2026-02-24, DE</w:t>
      </w:r>
    </w:p>
    <w:p>
      <w:r>
        <w:rPr>
          <w:b/>
        </w:rPr>
        <w:t xml:space="preserve">Quelle: </w:t>
      </w:r>
      <w:r>
        <w:t>https://mcp.opencaselaw.ch/entscheid/bstger_BE.2025.21</w:t>
      </w:r>
    </w:p>
    <w:p>
      <w:r>
        <w:t>FR: TPF BE.2025.21 du 24 février 2026</w:t>
      </w:r>
    </w:p>
    <w:p>
      <w:r>
        <w:t>IT: TPF BE.2025.21 del 24 febbraio 2026</w:t>
      </w:r>
    </w:p>
    <w:p>
      <w:pPr>
        <w:pStyle w:val="Heading2"/>
      </w:pPr>
      <w:r>
        <w:t>Regeste</w:t>
      </w:r>
    </w:p>
    <w:p>
      <w:r>
        <w:t>Entsiegelung (Art. 50 Abs. 3 VStrR)</w:t>
      </w:r>
    </w:p>
    <w:p>
      <w:pPr>
        <w:pStyle w:val="Heading2"/>
      </w:pPr>
      <w:r>
        <w:t>Erwägungen</w:t>
      </w:r>
    </w:p>
    <w:p>
      <w:r>
        <w:rPr>
          <w:b/>
        </w:rPr>
        <w:t>E. 1.1</w:t>
      </w:r>
    </w:p>
    <w:p>
      <w:r>
        <w:t>Widerhandlungen gegen das Zollgesetz vom 18. März 2005 (ZG; SR 631.0) werden nach diesem und nach dem Bundesgesetz vom 22. März 1974 über das Verwaltungsstrafrecht (VStrR; SR 313.0) verfolgt und beurteilt, wobei das BAZG die verfolgende und urteilende Behörde ist (Art. 128 ZG). Wider- handlungen gegen das Bundesgesetz vom 12. Juni 2009 über die Mehrwert- steuer werden grundsätzlich nach dem VStrR verfolgt (Art. 103 Abs. 1 MWSTG). Bei der Einfuhrsteuer obliegt die Strafverfolgung dem BAZG (Art. 103 Abs. 2 MWSTG).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Bundesge- richts 1B_210/2017 vom 23. Oktober 2017 E. 1.1; 1B_91/2016 vom 4. Au- gust 2016 E. 4.1; zum Ganzen Urteil des Bundesgerichts 1B_433/2017 vom 21. März 2018 E. 1.1). Insbesondere im Bereich der Durchsuchung von Pa- pieren gemäss Art. 50 VStrR bietet es sich grundsätzlich an, auf die Regeln und die Praxis zur Durchsuchung von Aufzeichnungen nach Art. 246 ff. StPO zurückzugreifen (Urteile des Bundesgerichts 7B_1352/2024 vom 16. Sep- tember 2025 E. 3.2; 7B_515/2024 vom 3. April 2025 E. 2.1). Die allgemeinen strafprozessualen und verfassungsrechtlichen Grundsätze sind auch im Ver- waltungsstrafverfahren zu berücksichtigen (BGE 139 IV 246 E. 1.2 und E. 3.2; TPF 2018 162 E. 3; 2017 107 E. 1.2 und E. 1.3; 2016 55 E. 2.3).</w:t>
      </w:r>
    </w:p>
    <w:p>
      <w:r>
        <w:rPr>
          <w:b/>
        </w:rPr>
        <w:t>E. 1.3</w:t>
      </w:r>
    </w:p>
    <w:p>
      <w:r>
        <w:t>Gemäss Art. 50 VStrR sind im Verwaltungsstrafverfahren Papiere mit gröss- ter Schonung der Privatgeheimnisse zu durchsuchen (Abs. 1), wobei Amts- und Berufsgeheimnisse zu wahren sind (Abs. 2). Erhebt der Inhaber der Pa- piere Einsprache gegen die Durchsuchung, so werden die Papiere versiegelt und verwahrt, und es entscheidet die Beschwerdekammer des Bundesstraf- gerichts über die Zulässigkeit der Durchsuchung (Abs. 3 i.V.m. Art. 25 Abs. 1 VStrR). Die Bestimmung wird heute auch auf elektronische Datenträger an- gewandt (Urteile des Bundesgerichts 1B_210/2017 vom 23. Oktober 2017 E. 3.3; 1B_487/2018 vom 6. Februar 2019 E. 2.2). Nach der bundesgericht- lichen Rechtsprechung sind in Analogie zum ordentlichen Strafprozess auch im Verwaltungsstrafverfahren Aufzeichnungen und Gegenstände, die nach Angaben der Inhaberin oder des Inhabers wegen eines Aussage- oder Zeug- nisverweigerungsrechts oder aus anderen Gründen nicht durchsucht oder</w:t>
      </w:r>
    </w:p>
    <w:p>
      <w:r>
        <w:t>- 5 -</w:t>
      </w:r>
    </w:p>
    <w:p>
      <w:r>
        <w:t>beschlagnahmt werden dürfen, zu versiegeln und dürfen von den Strafbe- hörden weder eingesehen noch verwendet werden (vgl. Art. 50 VStrR i.V.m. Art. 248 Abs. 1 sowie Art. 264 Abs. 1 und 2 StPO). Macht eine berechtigte Person geltend, eine Beschlagnahme (oder Edition) von Gegenständen und Vermögenswerten sei wegen eines Aussage- oder Zeugnisverweigerungs- rechts oder aus anderen Gründen nicht zulässig, so gehen die Strafbehör- den nach den Vorschriften über die Siegelung vor (Art. 264 Abs. 3 und Art. 265 Abs. 2 lit. a–b StPO; Urteile des Bundesgerichts 1B_210/2017 vom 23. Oktober 2017 E. 3.3; 1B_487/2018 vom 6. Februar 2019 E. 2.2; zum Ganzen BGE 148 IV 221 E. 2.1).</w:t>
      </w:r>
    </w:p>
    <w:p>
      <w:r>
        <w:rPr>
          <w:b/>
        </w:rPr>
        <w:t>E. 2.1</w:t>
      </w:r>
    </w:p>
    <w:p>
      <w:r>
        <w:t>Die Beschwerdekammer des Bundesstrafgerichts entscheidet über die Zu- lässigkeit der Durchsuchung (Art. 50 Abs. 3 i.V.m. Art. 25 Abs. 1 VStrR und Art. 37 Abs. 2 lit. b StBOG). Die Frist von 20 Tagen für die Einreichung des Entsiegelungsgesuchs gemäss Art. 248 Abs. 3 StPO findet im Verwaltungs- strafverfahren keine Anwendung (Urteile des Bundesgerichts 7B_1352/2024 vom 16. September 2025 E. 5,2; 1B_414/2013 vom 29. April 2014 E. 2.2; 1B_641/2012 vom 8. Mai 2013 E. 3.2). Die betroffene Verwaltungsbehörde hat bei der Stellung von Entsiegelungsgesuchen dem Beschleunigungsge- bot ausreichend Rechnung zu tragen (Art. 29 Abs. 1 BV; BGE 139 IV 246 E. 3.2). Erfolgt ein Entsiegelungsgesuch knapp anderthalb Monate nach der Haus- durchsuchung und Siegelung, ist dem Beschleunigungsgebot in Strafsachen genügend Rechnung getragen (Urteil des Bundesgerichts 1B_641/2012 vom 8. Mai 2013 E. 3.3). Die Beschwerdekammer hat auch Fristen von rund zwei Monaten wiederholt als mit dem Beschleunigungsgebot vereinbar angese- hen, wobei innerhalb dieser zwei Monate allerdings jeweils noch Abklärun- gen bezüglich des Festhaltens an der Einsprache bzw. bezüglich des Um- fangs der Einsprache erfolgten (Beschlüsse des Bundesstrafgerichts BE.2018.8 vom 22. November 2018; BE.2013.4 vom 14. Oktober 2014 E. 1.3.3; BE.2013.7 vom 6. November 2013 E. 1.3.3; BE.2013.6 vom 29. Ok- tober 2013 E. 1.3.3; BE.2013.5 vom 16. Oktober 2013 E. 1.3.3; BE.2018.13 vom 1. Februar 2019 E. 2.3). Sie erkannte aber eine Verletzung des Be- schleunigungsgebots in einem Fall, in welchem das Gesuch ohne erkennba- ren Grund erst zweieinhalb Monate nach der Hausdurchsuchung und Siege- lung erfolgte (Beschluss des Bundesstrafgerichts BE.2013.8 vom 5. Dezem- ber 2013 E. 1.4.3).</w:t>
      </w:r>
    </w:p>
    <w:p>
      <w:r>
        <w:t>- 6 -</w:t>
      </w:r>
    </w:p>
    <w:p>
      <w:r>
        <w:rPr>
          <w:b/>
        </w:rPr>
        <w:t>E. 2.2</w:t>
      </w:r>
    </w:p>
    <w:p>
      <w:r>
        <w:t>Das BAZG stellte das Entsiegelungsgesuch am 13. August 2025, mithin in- nert weniger als 20 Tagen seit der Sicherstellung des Mobiltelefons vom 24. Juli 2025 und damit rechtzeitig.</w:t>
      </w:r>
    </w:p>
    <w:p>
      <w:r>
        <w:rPr>
          <w:b/>
        </w:rPr>
        <w:t>E. 3.1</w:t>
      </w:r>
    </w:p>
    <w:p>
      <w:r>
        <w:t>Fedpol teilte der Beschwerdekammer mit Bericht vom 18. August 2025 mit, dass ohne Kenntnis des Zugangscodes zurzeit keine Datenextraktion mög- lich ist.</w:t>
      </w:r>
    </w:p>
    <w:p>
      <w:r>
        <w:rPr>
          <w:b/>
        </w:rPr>
        <w:t>E. 3.2</w:t>
      </w:r>
    </w:p>
    <w:p>
      <w:r>
        <w:t>Gestützt auf das Aussageverweigerungsrecht und den Grundsatz nemo tenetur se ipsum accusare kann die beschuldigte Person nicht verpflichtet werden, den Sicherungscode des Mobiltelefons bekannt zu geben (vgl. hierzu BGE 151 IV 73 E. 2.4.2; 148 IV 221 E. 2.2). In der unterbliebenen Bekanntgabe der Sperrcodes kann im Entsiegelungsverfahren vor dem Zwangsmassnahmengericht keine Verletzung der Mitwirkungsobliegenheit erblickt werden (Urteile des Bundesgerichts 1B_459/2019 vom 16. Dezem- ber 2019 E. 2.3; 1B_376/2019 vom 12. September 2019 E. 2.6).</w:t>
      </w:r>
    </w:p>
    <w:p>
      <w:r>
        <w:rPr>
          <w:b/>
        </w:rPr>
        <w:t>E. 3.3</w:t>
      </w:r>
    </w:p>
    <w:p>
      <w:r>
        <w:t>Vorliegend ist das sichergestellte Gerät verschlüsselt und kann zurzeit weder forensisch gesichert noch durchsucht werden. Die Aussonderung von Ge- heimnissen oder die Entsiegelung sind aber beide nicht grundsätzlich aus- geschlossen, wenngleich zurzeit nicht möglich. Damit ist das gerichtliche Entsiegelungsverfahren als gegenstandlos abzuschreiben (Beschlüsse des Bundesstrafgerichts BE.2024.11 vom 19. Dezember 2024 E. 2.4; BE.2025.12 vom 12. September 2025 E. 2.5 f.; nach GRAF/RÜTSCHE, a.a.O., S. 618, FN 75 ein «juristisch zweifelhafter[es]» Vorgehen).</w:t>
      </w:r>
    </w:p>
    <w:p>
      <w:r>
        <w:t>Der Gesuchsgegner kann beim BAZG grundsätzlich jederzeit eine Verfü- gung über die Freigabe seines sichergestellten Gerätes verlangen. Die Dauer der Sicherstellung des Gerätes des Gesuchsgegners ist zurzeit noch offenkundig verhältnismässig. Das von fedpol gesiegelte Gerät ist damit dem BAZG gesiegelt zu retournieren. Die Verfahrensleitung bleibt beim BAZG. Erlässt das BAZG einen Endentscheid, hat das Amt auch über die Verteilung der Verfahrenskosten des vorliegenden Verfahrens zu befinden.</w:t>
      </w:r>
    </w:p>
    <w:p>
      <w:r>
        <w:rPr>
          <w:b/>
        </w:rPr>
        <w:t>E. 4</w:t>
      </w:r>
    </w:p>
    <w:p>
      <w:r>
        <w:t>Die Verfahrenskosten bleiben bei der Hauptsache (vgl. TPF 2024 187 E. 2.9), d.h. in der Strafuntersuchung Nr. 71-2024-8599 des BAZG. Die Gerichtsgebühr ist auf Fr. 1'000.-- festzusetzen (vgl. Art. 73 Abs. 2 StBOG i.V.m. Art. 422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