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BE.2024.6 vom 8. August 2024</w:t>
      </w:r>
    </w:p>
    <w:p>
      <w:r>
        <w:t>Bundesstrafgericht, 2024-08-08, FR</w:t>
      </w:r>
    </w:p>
    <w:p>
      <w:r>
        <w:rPr>
          <w:b/>
        </w:rPr>
        <w:t xml:space="preserve">Quelle: </w:t>
      </w:r>
      <w:r>
        <w:t>https://mcp.opencaselaw.ch/entscheid/bstger_BE.2024.6</w:t>
      </w:r>
    </w:p>
    <w:p>
      <w:r>
        <w:t>FR: TPF BE.2024.6 du 8 août 2024</w:t>
      </w:r>
    </w:p>
    <w:p>
      <w:r>
        <w:t>IT: TPF BE.2024.6 del 8 agosto 2024</w:t>
      </w:r>
    </w:p>
    <w:p>
      <w:pPr>
        <w:pStyle w:val="Heading2"/>
      </w:pPr>
      <w:r>
        <w:t>Regeste</w:t>
      </w:r>
    </w:p>
    <w:p>
      <w:r>
        <w:t>Levée des scellés (art. 50 al. 3 DPA)</w:t>
      </w:r>
    </w:p>
    <w:p>
      <w:pPr>
        <w:pStyle w:val="Heading2"/>
      </w:pPr>
      <w:r>
        <w:t>Erwägungen</w:t>
      </w:r>
    </w:p>
    <w:p>
      <w:r>
        <w:rPr>
          <w:b/>
        </w:rPr>
        <w:t>E. 17</w:t>
      </w:r>
    </w:p>
    <w:p>
      <w:r>
        <w:t>juin 2005 sur le Tribunal fédéral; LTF). Les mémoires doivent être remis au plus tard le dernier jour du délai, soit au Tribunal fédéral soit, à l’attention de ce dernier, à La Poste Suisse ou à une représentation diplomatique ou consulaire suisse (art. 48 al. 1 LTF). En cas de transmission électronique, le moment déterminant pour l’observation d’un délai est celui où est établi l’accusé de réception qui confirme que la partie a accompli toutes les étapes nécessaires à la transmission (art. 48 al. 2 LTF). La procédure est réglée par les art. 90 ss LTF. Le recours ne suspend l’exécution de l’arrêt attaqué que si le juge instructeur l’ordonne (art. 103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