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BE.2024.3 vom 19. Juni 2024</w:t>
      </w:r>
    </w:p>
    <w:p>
      <w:r>
        <w:t>Bundesstrafgericht, 2024-06-19, DE</w:t>
      </w:r>
    </w:p>
    <w:p>
      <w:r>
        <w:rPr>
          <w:b/>
        </w:rPr>
        <w:t xml:space="preserve">Quelle: </w:t>
      </w:r>
      <w:r>
        <w:t>https://mcp.opencaselaw.ch/entscheid/bstger_BE.2024.3</w:t>
      </w:r>
    </w:p>
    <w:p>
      <w:r>
        <w:t>FR: TPF BE.2024.3 du 19 juin 2024</w:t>
      </w:r>
    </w:p>
    <w:p>
      <w:r>
        <w:t>IT: TPF BE.2024.3 del 19 giugno 2024</w:t>
      </w:r>
    </w:p>
    <w:p>
      <w:pPr>
        <w:pStyle w:val="Heading2"/>
      </w:pPr>
      <w:r>
        <w:t>Regeste</w:t>
      </w:r>
    </w:p>
    <w:p>
      <w:r>
        <w:t>Entsiegelung (Art. 50 Abs. 3 VStrR); vorsorgliche Massnahmen (Art. 388 StPO analog)</w:t>
      </w:r>
    </w:p>
    <w:p>
      <w:pPr>
        <w:pStyle w:val="Heading2"/>
      </w:pPr>
      <w:r>
        <w:t>Erwägungen</w:t>
      </w:r>
    </w:p>
    <w:p>
      <w:r>
        <w:rPr>
          <w:b/>
        </w:rPr>
        <w:t>E. 1</w:t>
      </w:r>
    </w:p>
    <w:p>
      <w:r>
        <w:t>Gemäss Art. 134 Abs. 1 BGS ist bei Widerhandlungen im Zusammenhang mit Spielbankenspielen im Sinne von Art. 3 lit. g BGS und bei Hinterziehung der Spielbankenabgabe das Bundesgesetz vom 22. März 1974 über das Verwaltungsstrafrecht (VStrR; SR 313.0) anwendbar, wobei das Sekretariat der ESBK verfolgende und die ESBK urteilende Behörde ist (Art. 134 Abs. 2 BGS). Die Verfolgung und die Beurteilung der Straftaten im Zusammenhang mit den anderen Geldspielen obliegen den Kantonen (Art. 135 Abs. 1 BGS).</w:t>
      </w:r>
    </w:p>
    <w:p>
      <w:r>
        <w:rPr>
          <w:b/>
        </w:rPr>
        <w:t>E. 2</w:t>
      </w:r>
    </w:p>
    <w:p>
      <w:r>
        <w:t>Dem Gesuchsgegner werden Widerhandlungen im Zusammenhang mit Spielbankenspielen im Sinne von Art. 3 lit. g BGS vorgeworfen, weshalb die Beschwerdekammer über die Zulässigkeit der Durchsuchung der sicherge- stellten Gegenstände zu entscheiden hat (vgl. Art. 50 Abs. 3 VStrR).</w:t>
      </w:r>
    </w:p>
    <w:p>
      <w:r>
        <w:rPr>
          <w:b/>
        </w:rPr>
        <w:t>E. 3.1</w:t>
      </w:r>
    </w:p>
    <w:p>
      <w:r>
        <w:t>Der Inhaber von zu Durchsuchungszwecken sichergestellten Papieren und Datenträgern hat die Geheimnisse glaubhaft zu machen, die seiner Ansicht nach dem öffentlichen Interesse an der Aufklärung und Verfolgung von mut- masslichen Straftaten vorgehen. Mit der Substanziierungsobliegenheit wird vermieden, dass das Entsiegelungsverfahren rechtsmissbräuchlich oder trö- lerisch in Anspruch genommen wird (Urteil des Bundesgerichts 1B_637/2012 vom 8. Mai 2013 E. 3.6, nicht publ. in: BGE 139 IV 246; vgl. Beschluss des Bundesstrafgerichts BE.2015.11 vom 20. Oktober 2016 E. 3.4).</w:t>
      </w:r>
    </w:p>
    <w:p>
      <w:r>
        <w:t>- 6 -</w:t>
      </w:r>
    </w:p>
    <w:p>
      <w:r>
        <w:rPr>
          <w:b/>
        </w:rPr>
        <w:t>E. 3.2</w:t>
      </w:r>
    </w:p>
    <w:p>
      <w:r>
        <w:t>Weder aus dem «Protokoll über die Durchsuchung» (BE.2024.3, act. 1.2) noch aus dem «Protokoll über die Versiegelung und Verwahrung» (BE.2024.3, act. 1.3) ist ersichtlich, dass der Gesuchsgegner Geheimnis- rechte als betroffen anrief. Der Gesuchsgegner liess sich im Entsiegelungs- verfahren innert Frist nicht vernehmen, mithin ruft er auch im Entsiegelungs- verfahren keine Geheimnisrechte an. Mangels substanziierter Vorbringen des Gesuchsgegners besteht für die Beschwerdekammer kein Anlass, ein förmliches Entsiegelungsverfahren durchzuführen.</w:t>
      </w:r>
    </w:p>
    <w:p>
      <w:r>
        <w:rPr>
          <w:b/>
        </w:rPr>
        <w:t>E. 3.3</w:t>
      </w:r>
    </w:p>
    <w:p>
      <w:r>
        <w:t>Nach dem Gesagten ist auf das Entsiegelungsgesuch nicht einzutreten (vgl. hierzu Urteil des Bundesgerichts 1B_464/2019 vom 17. März 2020) und die Gesuchstellerin kann ohne Weiteres die Durchsuchung, Triage und allfällige Beschlagnahme der Asservate bzw. forensischen Sicherungen vornehmen.</w:t>
      </w:r>
    </w:p>
    <w:p>
      <w:r>
        <w:rPr>
          <w:b/>
        </w:rPr>
        <w:t>E. 3.4</w:t>
      </w:r>
    </w:p>
    <w:p>
      <w:r>
        <w:t>Ist vorliegend auf das Entsiegelungsgesuch nicht einzutreten, bleibt für eine Abweisung des Entsiegelungsbegehrens wegen allfälliger schwerer Verfah- rensmängel im Zusammenhang mit der Siegelung kein Raum (vgl. BGE 148 IV 221 E. 4). Allfällige schwere Verfahrensmängel im Zusammenhang mit der Siegelung können im Rahmen der Frage der Verwertbarkeit von Beweis- mitteln geltend gemacht werden, die grundsätzlich dem Sachgericht bzw. der den Endentscheid fällenden Strafbehörde zu unterbreiten ist (vgl. BGE 143 IV 387 E. 4.4).</w:t>
      </w:r>
    </w:p>
    <w:p>
      <w:r>
        <w:rPr>
          <w:b/>
        </w:rPr>
        <w:t>E. 4</w:t>
      </w:r>
    </w:p>
    <w:p>
      <w:r>
        <w:t>Rein formal gesehen unterliegt die Gesuchstellerin, indem auf ihr Entsiege- lungsgesuch nicht eingetreten wird, materiell indessen der Gesuchsgegner, fällt doch die von ihm angestrebte Unterlassung einer Durchsuchung ausser Betracht (vgl. Beschluss des Bundesstrafgerichts BE.2022.17 vom 26. Sep- tember 2022). Mithin sind die Gerichtskosten in analoger Anwendung von Art. 66 BGG (vgl. hierzu TPF 2011 25 E. 3) dem Gesuchsgegner aufzuerle- gen. Die Gerichtsgebühr ist auf Fr. 1'000.– festzusetzen (vgl. Art. 25 Abs. 4 VStrR i.V.m. Art. 73 StBOG und Art. 5 sowie 8 Abs. 1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