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BE.2024.19 vom 23. September 2024</w:t>
      </w:r>
    </w:p>
    <w:p>
      <w:r>
        <w:t>Bundesstrafgericht, 2024-09-23, DE</w:t>
      </w:r>
    </w:p>
    <w:p>
      <w:r>
        <w:rPr>
          <w:b/>
        </w:rPr>
        <w:t xml:space="preserve">Quelle: </w:t>
      </w:r>
      <w:r>
        <w:t>https://mcp.opencaselaw.ch/entscheid/bstger_BE.2024.19</w:t>
      </w:r>
    </w:p>
    <w:p>
      <w:r>
        <w:t>FR: TPF BE.2024.19 du 23 septembre 2024</w:t>
      </w:r>
    </w:p>
    <w:p>
      <w:r>
        <w:t>IT: TPF BE.2024.19 del 23 settembre 2024</w:t>
      </w:r>
    </w:p>
    <w:p>
      <w:pPr>
        <w:pStyle w:val="Heading2"/>
      </w:pPr>
      <w:r>
        <w:t>Regeste</w:t>
      </w:r>
    </w:p>
    <w:p>
      <w:r>
        <w:t>Entsiegelung (Art. 50 Abs. 3 VStrR)</w:t>
      </w:r>
    </w:p>
    <w:p>
      <w:pPr>
        <w:pStyle w:val="Heading2"/>
      </w:pPr>
      <w:r>
        <w:t>Erwägungen</w:t>
      </w:r>
    </w:p>
    <w:p>
      <w:r>
        <w:rPr>
          <w:b/>
        </w:rPr>
        <w:t>E. 1.1</w:t>
      </w:r>
    </w:p>
    <w:p>
      <w:r>
        <w:t>Widerhandlungen gegen das VAU werden vom BAZG nach dem VStrR ver- folgt und beurteilt (Art. 19 Abs. 3 VAU). Dies gilt ebenfalls für die in seinen Zuständigkeitsbereich fallenden Widerhandlungen gegen das VStrR.</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w:t>
      </w:r>
    </w:p>
    <w:p>
      <w:r>
        <w:t>- 4 -</w:t>
      </w:r>
    </w:p>
    <w:p>
      <w:r>
        <w:t>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w:t>
      </w:r>
    </w:p>
    <w:p>
      <w:r>
        <w:rPr>
          <w:b/>
        </w:rPr>
        <w:t>E. 1.3</w:t>
      </w:r>
    </w:p>
    <w:p>
      <w:r>
        <w:t>Die allgemeinen strafprozessualen und verfassungsrechtlichen Grundsätze sind jedenfalls auch im Verwaltungsstrafverfahren zu berücksichtigen (BGE 139 IV 246 E. 1.2 und E. 3.2; TPF 2018 162 E. 3; TPF 2017 107 E. 1.2 und E. 1.3; TPF 2016 55 E. 2.3).</w:t>
      </w:r>
    </w:p>
    <w:p>
      <w:r>
        <w:rPr>
          <w:b/>
        </w:rPr>
        <w:t>E. 2</w:t>
      </w:r>
    </w:p>
    <w:p>
      <w:r>
        <w:t>Die Durchsuchung von «Papieren» (bzw. von Aufzeichnungen und Gegen- ständen oder Datenträgern, s. BGE 139 IV 246 E. 3.2 und Urteil des Bun- desgerichts 1B_461/2021 vom 20. Dezember 2021 E. 3.2) hat mit grösster Schonung der Privatgeheimnisse zu erfolgen; insbesondere sollen Papiere nur dann durchsucht werden, wenn anzunehmen ist, dass sich Schriften da- runter befinden, die für die Untersuchung von Bedeutung sind (Art. 50 Abs. 1 VStrR). Bei der Durchsuchung sind das Amtsgeheimnis sowie Geheimnisse, die Geistlichen, Rechtsanwälten, Notaren, Ärzten, Apothekern, Hebammen und ihren beruflichen Gehilfen in ihrem Amte oder Beruf anvertraut wurden, zu wahren (Art. 50 Abs. 2 VStrR). Gemäss Art. 50 Abs. 3 VStrR ist dem Inhaber der Papiere wenn immer möglich Gelegenheit zu geben, sich vor der Durchsuchung über ihren Inhalt auszusprechen. Erhebt er gegen die Durch- suchung Einsprache, so werden die Papiere versiegelt und verwahrt. Dabei führt die Siegelung rechtlich zu einem (einstweiligen) Durchsuchungsverbot (JEKER, Basler Kommentar, 2020, N. 52 zu Art. 50 VStrR). Die Beschwerde- kammer des Bundesstrafgerichts entscheidet über die Zulässigkeit der Durchsuchung (Art. 50 Abs. 3 i.V.m. Art. 25 Abs. 1 VStrR und Art. 37 Abs. 2 lit. b StBOG). Die betroffene Verwaltungsbehörde hat beim Stellen von Ent- siegelungsgesuchen dem Beschleunigungsgebot ausreichend Rechnung zu tragen (Art. 29 Abs. 1 BV; BGE 139 IV 246 E. 3.2).</w:t>
      </w:r>
    </w:p>
    <w:p>
      <w:r>
        <w:rPr>
          <w:b/>
        </w:rPr>
        <w:t>E. 3</w:t>
      </w:r>
    </w:p>
    <w:p>
      <w:r>
        <w:t>Der Inhaber der sichergestellten Unterlagen hat im Entsiegelungsverfahren nicht nur die Schriften bzw. Daten zu benennen, die seiner Ansicht nach der Geheimhaltung im Sinne von Art. 50 Abs. 3 VStrR unterliegen, sondern auch die Berufs-, Privat- oder Geschäftsgeheimnisse glaubhaft zu machen, die seiner Ansicht nach dem öffentlichen Interesse an der Aufklärung und Ver- folgung von mutmasslichen Straftaten vorgehen (BGE 137 IV 189 E. 4.2; Urteile des Bundesgerichts 1B_349/2018 vom 13. März 2019 E. 1; 1B_671/2012 vom</w:t>
      </w:r>
    </w:p>
    <w:p>
      <w:r>
        <w:rPr>
          <w:b/>
        </w:rPr>
        <w:t>E. 8</w:t>
      </w:r>
    </w:p>
    <w:p>
      <w:r>
        <w:t>Mai 2013 E. 3.6.1 m.w.H.). Nach der</w:t>
      </w:r>
    </w:p>
    <w:p>
      <w:r>
        <w:t>- 5 -</w:t>
      </w:r>
    </w:p>
    <w:p>
      <w:r>
        <w:t>bundesgerichtlichen Praxis trifft die Inhaberschaft von zu Durchsuchungs- zwecken sichergestellten Aufzeichnungen und Gegenständen, die ein Sie- gelungsbegehren gestellt hat, die prozessuale Obliegenheit, die von ihr an- gerufenen Geheimhaltungsinteressen ausreichend zu substantiieren. Dieje- nigen Aufzeichnungen und Dateien, die dem Geheimnisschutz unterliegen, sind zu benennen (zum Ganzen: Urteile des Bundesgerichts 7B_106/2022 vom 16. November 2023 E. 3.2; 1B_473/2022 vom 12. April 2023 E. 3.1; 1B_565/2022 vom 19. Januar 2023 E. 3.1; 1B_369/2022 vom 10. Oktober 2022 E. 4.2; 1B_611/2021 vom 12. Mai 2022 E. 7.1; je mit Hinweisen). Mit der Substanziierungsobliegenheit wird vermieden, dass das Entsiegelungs- verfahren rechtsmissbräuchlich oder trölerisch in Anspruch genommen wer- den könnte (Urteil des Bundesgerichts 1B_637/2012 vom 8. Mai 2013 E. 3.6, nicht publiziert in BGE 139 IV 246; vgl. Beschlüsse des Bundesstrafgerichts BE.2017.14 E. 2.2; BE.2015.11 vom 20. Oktober 2016 E. 3.4).</w:t>
      </w:r>
    </w:p>
    <w:p>
      <w:r>
        <w:t>4. Gemäss dem Untersuchungsbericht begründete die Gesuchsgegnerin gegenüber der Gesuchstellerin die beantragte Siegelung damit, dass sich auf dem sichergestellten Mobiltelefon persönliche Daten, wie Fotos und Arzt- unterlagen befinden würden (act. 1.20 S. 2). Trotz entsprechender Aufforde- rung (act. 2) liess sich die Gesuchsgegnerin im Entsiegelungsverfahren weder innert Frist noch bis dato vernehmen. Sie hat im Entsiegelungsverfah- ren somit weder die entsprechenden Daten benannt, die ihrer Ansicht nach der Geheimhaltung im Sinne von Art. 50 Abs. 3 VStrR unterliegen, noch die von ihr angerufenen Geheimhaltungsinteressen glaubhaft gemacht. Mangels substantiierter Vorbringen der Gesuchsgegnerin besteht somit kein Anlass, ein förmliches Entsiegelungsverfahren durchzuführen. Nach dem Gesagten ist auf das Entsiegelungsgesuch nicht einzutreten (vgl. hierzu das Urteil des Bundesgerichts 1B_464/2019 vom 17. März 2020) und der Gesuchsteller kann ohne Weiteres die Durchsuchung, Triage und allfällige Beschlagnahme der sichergestellten Daten vornehmen.</w:t>
      </w:r>
    </w:p>
    <w:p>
      <w:r>
        <w:t>5. Rein formal gesehen unterliegt der Gesuchsteller, indem auf sein Entsiege- lungsgesuch nicht eingetreten wird, materiell indessen die Gesuchsgegne- rin, fällt doch die von ihr angestrebte Unterlassung einer Durchsuchung ausser Betracht (vgl. Beschluss des Bundesstrafgerichts BE.2022.17 vom 26. September 2022). Folgerichtig sind die Gerichtskosten in analoger Anwendung von Art. 66 BGG (vgl. hierzu TPF 2011 25 E. 3) der Gesuchs- gegnerin aufzuerlegen. Die Gerichtsgebühr ist auf Fr. 1'000.-- festzusetzen (vgl. Art. 25 Abs. 4 VStrR i.V.m. Art. 73 StBOG und Art. 5 sowie 8 Abs. 1 des Reglements des Bundesstrafgerichts vom 31. August 2010 über die Kosten,</w:t>
      </w:r>
    </w:p>
    <w:p>
      <w:r>
        <w:t>- 6 -</w:t>
      </w:r>
    </w:p>
    <w:p>
      <w:r>
        <w:t>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