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BE.2024.18 vom 20. Dezember 2024</w:t>
      </w:r>
    </w:p>
    <w:p>
      <w:r>
        <w:t>Bundesstrafgericht, 2024-12-20, DE</w:t>
      </w:r>
    </w:p>
    <w:p>
      <w:r>
        <w:rPr>
          <w:b/>
        </w:rPr>
        <w:t xml:space="preserve">Quelle: </w:t>
      </w:r>
      <w:r>
        <w:t>https://mcp.opencaselaw.ch/entscheid/bstger_BE.2024.18</w:t>
      </w:r>
    </w:p>
    <w:p>
      <w:r>
        <w:t>FR: TPF BE.2024.18 du 20 décembre 2024</w:t>
      </w:r>
    </w:p>
    <w:p>
      <w:r>
        <w:t>IT: TPF BE.2024.18 del 20 dicembre 2024</w:t>
      </w:r>
    </w:p>
    <w:p>
      <w:pPr>
        <w:pStyle w:val="Heading2"/>
      </w:pPr>
      <w:r>
        <w:t>Regeste</w:t>
      </w:r>
    </w:p>
    <w:p>
      <w:r>
        <w:t>Entsiegelung (Art. 50 Abs. 3 VStrR)</w:t>
      </w:r>
    </w:p>
    <w:p>
      <w:pPr>
        <w:pStyle w:val="Heading2"/>
      </w:pPr>
      <w:r>
        <w:t>Erwägungen</w:t>
      </w:r>
    </w:p>
    <w:p>
      <w:r>
        <w:rPr>
          <w:b/>
        </w:rPr>
        <w:t>E. 1.1</w:t>
      </w:r>
    </w:p>
    <w:p>
      <w:r>
        <w:t>Widerhandlungen gegen das Zollgesetz vom 18. März 2005 (ZG; SR 631.0) werden nach diesem und nach dem Bundesgesetz vom 22. März 1974 über das Verwaltungsstrafrecht (VStrR; SR 313.0) verfolgt und beurteilt, wobei das BAZG die verfolgende und urteilende Behörde ist (Art. 128 ZG). Wider- handlungen gegen das Bundesgesetz vom 12. Juni 2009 über die Mehrwert- steuer werden grundsätzlich nach dem VStrR verfolgt (Art. 103 Abs. 1 MWSTG). Bei der Einfuhrsteuer obliegt die Strafverfolgung dem BAZG (Art. 103 Abs. 2 MWSTG).</w:t>
      </w:r>
    </w:p>
    <w:p>
      <w:r>
        <w:t>- 4 -</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Bundesge- richts 1B_210/2017 vom 23. Oktober 2017 E. 1.1; 1B_91/2016 vom 4. Au- gust 2016 E. 4.1; zum Ganzen Urteil des Bundesgerichts 1B_433/2017 vom 21. März 2018 E. 1.1). Die allgemeinen strafprozessualen und verfassungs- rechtlichen Grundsätze sind auch im Verwaltungsstrafverfahren zu berück- sichtigen (BGE 139 IV 246 E. 1.2 und E. 3.2; TPF 2018 162 E. 3; TPF 2017 107 E. 1.2 und E. 1.3; TPF 2016 55 E. 2.3).</w:t>
      </w:r>
    </w:p>
    <w:p>
      <w:r>
        <w:rPr>
          <w:b/>
        </w:rPr>
        <w:t>E. 2</w:t>
      </w:r>
    </w:p>
    <w:p>
      <w:r>
        <w:t>Die Durchsuchung von «Papieren» (bzw. von Aufzeichnungen und Gegen- ständen oder Datenträgern, BGE 139 IV 246 E. 3.2, Urteil des Bundesge- richts 1B_461/2021 vom 20. Dezember 2021 E. 3.2) hat mit grösster Scho- nung der Privatgeheimnisse zu erfolgen; insbesondere sollen Papiere nur dann durchsucht werden, wenn anzunehmen ist, dass sich Schriften darun- ter befinden, die für die Untersuchung von Bedeutung sind (Art. 50 Abs. 1 VStrR). Bei der Durchsuchung sind das Amtsgeheimnis sowie Geheimnisse, die Geistlichen, Rechtsanwälten, Notaren, Ärzten, Apothekern, Hebammen und ihren beruflichen Gehilfen in ihrem Amte oder Beruf anvertraut wurden, zu wahren (Art. 50 Abs. 2 VStrR). Gemäss Art. 50 Abs. 3 VStrR ist dem Inhaber der Papiere wenn immer möglich Gelegenheit zu geben, sich vor der Durchsuchung über ihren Inhalt auszusprechen. Erhebt er gegen die Durch- suchung Einsprache, so werden die Papiere versiegelt und verwahrt. Dabei führt die Siegelung rechtlich zu einem (einstweiligen) Durchsuchungsverbot (JEKER, Basler Kommentar, 2020, Art. 50 VStrR N. 52). Die Beschwerde- kammer des Bundesstrafgerichts entscheidet über die Zulässigkeit der Durchsuchung (Art. 50 Abs. 3 i.V.m. Art. 25 Abs. 1 VStrR und Art. 37 Abs. 2 lit. b StBOG). Die betroffene Verwaltungsbehörde hat beim Stellen von Ent- siegelungsgesuchen dem Beschleunigungsgebot ausreichend Rechnung zu tragen (Art. 29 Abs. 1 BV; BGE 139 IV 246 E. 3.2).</w:t>
      </w:r>
    </w:p>
    <w:p>
      <w:r>
        <w:rPr>
          <w:b/>
        </w:rPr>
        <w:t>E. 3</w:t>
      </w:r>
    </w:p>
    <w:p>
      <w:r>
        <w:t>Der Inhaber der sichergestellten Unterlagen hat im Entsiegelungsverfahren nicht nur die Schriften bzw. Daten zu benennen, die seiner Ansicht nach der Geheimhaltung im Sinne von Art. 50 Abs. 3 VStrR unterliegen, sondern hat auch die Berufs-, Privat- oder Geschäftsgeheimnisse glaubhaft zu machen, die seiner Ansicht nach dem öffentlichen Interesse an der Aufklärung und</w:t>
      </w:r>
    </w:p>
    <w:p>
      <w:r>
        <w:t>- 5 -</w:t>
      </w:r>
    </w:p>
    <w:p>
      <w:r>
        <w:t>Verfolgung von mutmasslichen Straftaten vorgehen (BGE 137 IV 189 E. 4.2; Urteile des Bundesgerichts 1B_349/2018 vom 13. März 2019 E. 1; 1B_671/2012 vom 8. Mai 2013 E. 3.6.1 m.w.H.). Nach der bundesgerichtli- chen Praxis trifft die Inhaberschaft von zu Durchsuchungszwecken sicherge- stellten Aufzeichnungen und Gegenständen, die ein Siegelungsbegehren gestellt hat, die prozessuale Obliegenheit, die von ihr angerufenen Geheim- haltungsinteressen ausreichend zu substantiieren. Diejenigen Aufzeichnun- gen und Dateien, die dem Geheimnisschutz unterliegen, sind zu benennen (zum Ganzen: Urteile des Bundesgerichts 7B_106/2022 vom 16. November 2023 E. 3.2; 1B_473/2022 vom 12. April 2023 E. 3.1; 1B_565/2022 vom 19. Januar 2023 E. 3.1; 1B_369/2022 vom 10. Oktober 2022 E. 4.2; 1B_611/2021 vom 12. Mai 2022 E. 7.1; je mit Hinweisen).</w:t>
      </w:r>
    </w:p>
    <w:p>
      <w:r>
        <w:rPr>
          <w:b/>
        </w:rPr>
        <w:t>E. 4</w:t>
      </w:r>
    </w:p>
    <w:p>
      <w:r>
        <w:t>Der Beschuldigte verlangte die Siegelung einzig mit dem Hinweis auf sein Privatleben. Auch in seiner Einvernahme macht er keine weiteren, substan- ziellen Ausführungen (vgl. obige litera B). Er liess sich trotz entsprechender Aufforderung im Entsiegelungsverfahren weder innert Frist noch bis dato vernehmen. Er hat im Entsiegelungsverfahren somit weder die entsprechen- den Daten benannt, die seiner Ansicht nach der Geheimhaltung im Sinne von Art. 50 Abs. 3 VStrR unterliegen, noch die angerufenen Geheimhal- tungsinteressen glaubhaft gemacht. Mangels substantiierter Vorbringen des Beschuldigten besteht somit kein Anlass, ein förmliches Entsiegelungsver- fahren durchzuführen. Nach dem Gesagten ist auf das Entsiegelungsgesuch nicht einzutreten (vgl. hierzu das Urteil des Bundesgerichts 1B_464/2019 vom 17. März 2020) und das BAZG kann ohne Weiteres die Durchsuchung, Triage und allfällige Beschlagnahme der sichergestellten Daten vornehmen.</w:t>
      </w:r>
    </w:p>
    <w:p>
      <w:r>
        <w:rPr>
          <w:b/>
        </w:rPr>
        <w:t>E. 5</w:t>
      </w:r>
    </w:p>
    <w:p>
      <w:r>
        <w:t>Die Verfahrenskosten bleiben bei der Hauptsache (vgl. Beschluss des Bun- desstrafgerichts BE.2022.3 vom 3. Dezember 2024 E. 2.9), d.h. in der Zoll- strafuntersuchung Nr. 71-2024.14774/0001 des BAZG. Die Gerichtsgebühr ist auf Fr. 1‘000.-- festzusetzen (vgl. Art. 73 Abs. 2 StBOG i.V.m. Art. 422 Abs. 1 StPO).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