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BE.2023.6 vom 6. September 2024</w:t>
      </w:r>
    </w:p>
    <w:p>
      <w:r>
        <w:t>Bundesstrafgericht, 2024-09-06, DE</w:t>
      </w:r>
    </w:p>
    <w:p>
      <w:r>
        <w:rPr>
          <w:b/>
        </w:rPr>
        <w:t xml:space="preserve">Quelle: </w:t>
      </w:r>
      <w:r>
        <w:t>https://mcp.opencaselaw.ch/entscheid/bstger_BE.2023.6</w:t>
      </w:r>
    </w:p>
    <w:p>
      <w:r>
        <w:t>FR: TPF BE.2023.6 du 6 septembre 2024</w:t>
      </w:r>
    </w:p>
    <w:p>
      <w:r>
        <w:t>IT: TPF BE.2023.6 del 6 settembre 2024</w:t>
      </w:r>
    </w:p>
    <w:p>
      <w:pPr>
        <w:pStyle w:val="Heading2"/>
      </w:pPr>
      <w:r>
        <w:t>Regeste</w:t>
      </w:r>
    </w:p>
    <w:p>
      <w:r>
        <w:t>Entsiegelung (Art. 50 Abs. 3 VStrR)</w:t>
      </w:r>
    </w:p>
    <w:p>
      <w:pPr>
        <w:pStyle w:val="Heading2"/>
      </w:pPr>
      <w:r>
        <w:t>Erwägungen</w:t>
      </w:r>
    </w:p>
    <w:p>
      <w:r>
        <w:rPr>
          <w:b/>
        </w:rPr>
        <w:t>E. 13</w:t>
      </w:r>
    </w:p>
    <w:p>
      <w:r>
        <w:t>März 2019 E. 1; 1B_671/2012 vom 8. Mai 2013 E. 3.6.1 m.w.H.); nach der bundesgerichtlichen Praxis die Inhaberschaft von zu Durchsuchungs- zwecken sichergestellten Aufzeichnungen und Gegenständen, die ein Siege- lungsbegehren gestellt hat, die prozessuale Obliegenheit trifft, die von ihr an- gerufenen Geheimhaltungsinteressen ausreichend zu substantiieren; dieje- nigen Aufzeichnungen und Dateien zu benennen sind, die dem Geheimnis- schutz unterliegen (zum Ganzen: Urteile des Bundesgerichts 7B_106/2022 vom 16. November 2023 E. 3.2; 1B_473/2022 vom 12. April 2023 E. 3.1;</w:t>
      </w:r>
    </w:p>
    <w:p>
      <w:r>
        <w:t>- 6 -</w:t>
      </w:r>
    </w:p>
    <w:p>
      <w:r>
        <w:t>1B_565/2022 vom 19. Januar 2023 E. 3.1; 1B_369/2022 vom 10. Oktober 2022 E. 4.2; 1B_611/2021 vom 12. Mai 2022 E. 7.1; je mit Hinweisen);</w:t>
      </w:r>
    </w:p>
    <w:p>
      <w:r>
        <w:t>- dies auch gilt, wenn das Anwaltsgeheimnis als gesetzliches Entsiegelungs- hindernis angerufen wird (Urteile des Bundesgerichts 1B_369/2022 vom 10. Oktober 2022 E. 4.3; 1B_472/2021 vom 21. Januar 2022 E. 6.6.2; 1B_243/2020 vom 26. Februar 2021 E. 3.2); Voraussetzung für eine hinrei- chende Substantiierung des Anwaltsgeheimnisses zudem ist, dass für den von der Staatsanwaltschaft umschriebenen Durchsuchungszeitraum ein tat- sächliches anwaltliches Vertretungsverhältnis plausibel aufgezeigt wird (Urteile des Bundesgerichts 7B_106/2022 vom 16. November 2023 E. 3.2; 1B_473/2022 vom 12. April 2023 E. 3.1 und 1B_427/2021 vom 21. Januar 2022 E. 6.6.2);</w:t>
      </w:r>
    </w:p>
    <w:p>
      <w:r>
        <w:t>- der Gesuchsgegner in einer E-Mail vom 7. März 2023 an den Gesuchsteller insbesondere mitteilte, dass auf seinem Outlook-Programm Anwaltskorres- pondenzen von Rechtsanwalt B. enthalten seien; es für diese Korresponden- zen keinen Rückzug der Siegelung gebe; er gegen eine allgemeine Auskund- schaftung seiner Daten sei; die Siegelung betreffend seine Fotos auf dem Mobiltelefon, kopierter Firmencomputer und auf der NAS sowie auf seiner App WeChat erhalten bleiben solle (act. 1.7);</w:t>
      </w:r>
    </w:p>
    <w:p>
      <w:r>
        <w:t>- soweit der Gesuchsgegner das Anwaltsgeheimnis anruft, er sich auf den blossen Hinweis auf Korrespondenz mit einem namentlich genannten Rechtsanwalt beschränkt, was nicht genügt (GRAF, Praxishandbuch zur Sie- gelung, 2022, N. 360 mit Hinweisen);</w:t>
      </w:r>
    </w:p>
    <w:p>
      <w:r>
        <w:t>- soweit der Gesuchsgegner (sinngemäss) Privat- oder Geschäftsgeheim- nisse anruft, er sein Interesse an der Geheimhaltung nicht konkretisiert, was erst eine Abwägung mit dem Interesse an der Strafverfolgung ermöglichen würde;</w:t>
      </w:r>
    </w:p>
    <w:p>
      <w:r>
        <w:t>- der Gesuchsgegner somit seiner Substantiierungspflicht nicht nachgekom- men ist;</w:t>
      </w:r>
    </w:p>
    <w:p>
      <w:r>
        <w:t>- somit mangels substantiierter Vorbringen des Gesuchsgegners kein Anlass besteht, ein förmliches Entsiegelungsverfahren durchzuführen;</w:t>
      </w:r>
    </w:p>
    <w:p>
      <w:r>
        <w:t>- nach dem Gesagten auf das Entsiegelungsgesuch nicht einzutreten ist (vgl. hierzu das Urteil des Bundesgerichts 1B_464/2019 vom 17. März 2020) und der Gesuchsteller ohne Weiteres die Durchsuchung, Triage und allfällige</w:t>
      </w:r>
    </w:p>
    <w:p>
      <w:r>
        <w:t>- 7 -</w:t>
      </w:r>
    </w:p>
    <w:p>
      <w:r>
        <w:t>Beschlagnahme der sichergestellten Aufzeichnungen und Gegenstände vor- nehmen kann;</w:t>
      </w:r>
    </w:p>
    <w:p>
      <w:r>
        <w:t>- rein formal gesehen der Gesuchsteller unterliegt, indem auf seinen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für das vorliegende Verfahren auf Fr. 500.– festzusetzen ist (vgl. Art. 25 Abs. 4 VStrR i.V.m Art. 73 StBOG und Art. 5 und 8 Abs. 1 des Reglements des Bundesstrafgerichts vom 31. August 2010 über die Kosten, Gebühren und Entschädigungen in Bundesstrafverfahren [BStKR; SR 173.713.162]);</w:t>
      </w:r>
    </w:p>
    <w:p>
      <w:r>
        <w:t>- 8 -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