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BE.2023.5 vom 6. September 2024</w:t>
      </w:r>
    </w:p>
    <w:p>
      <w:r>
        <w:t>Bundesstrafgericht, 2024-09-06, DE</w:t>
      </w:r>
    </w:p>
    <w:p>
      <w:r>
        <w:rPr>
          <w:b/>
        </w:rPr>
        <w:t xml:space="preserve">Quelle: </w:t>
      </w:r>
      <w:r>
        <w:t>https://mcp.opencaselaw.ch/entscheid/bstger_BE.2023.5</w:t>
      </w:r>
    </w:p>
    <w:p>
      <w:r>
        <w:t>FR: TPF BE.2023.5 du 6 septembre 2024</w:t>
      </w:r>
    </w:p>
    <w:p>
      <w:r>
        <w:t>IT: TPF BE.2023.5 del 6 settembre 2024</w:t>
      </w:r>
    </w:p>
    <w:p>
      <w:pPr>
        <w:pStyle w:val="Heading2"/>
      </w:pPr>
      <w:r>
        <w:t>Regeste</w:t>
      </w:r>
    </w:p>
    <w:p>
      <w:r>
        <w:t>Entsiegelung (Art. 50 Abs. 3 VStrR)</w:t>
      </w:r>
    </w:p>
    <w:p>
      <w:pPr>
        <w:pStyle w:val="Heading2"/>
      </w:pPr>
      <w:r>
        <w:t>Erwägungen</w:t>
      </w:r>
    </w:p>
    <w:p>
      <w:r>
        <w:rPr>
          <w:b/>
        </w:rPr>
        <w:t>E. 13</w:t>
      </w:r>
    </w:p>
    <w:p>
      <w:r>
        <w:t>März 2019 E. 1; 1B_671/2012 vom 8. Mai 2013 E. 3.6.1 m.w.H.); nach der bundesgerichtlichen Praxis die Inhaberschaft von zu Durchsuchungs- zwecken sichergestellten Aufzeichnungen und Gegenständen, die ein Sie- gelungsbegehren gestellt hat, die prozessuale Obliegenheit trifft, die von ihr angerufenen Geheimhaltungsinteressen ausreichend zu substantiieren; die- jenigen Aufzeichnungen und Dateien zu benennen sind, die dem Geheimnis- schutz unterliegen (zum Ganzen: Urteile des Bundesgerichts 7B_106/2022 vom 16. November 2023 E. 3.2; 1B_473/2022 vom 12. April 2023 E. 3.1; 1B_565/2022 vom 19. Januar 2023 E. 3.1; 1B_369/2022 vom 10. Oktober 2022 E. 4.2; 1B_611/2021 vom 12. Mai 2022 E. 7.1; je mit Hinweisen);</w:t>
      </w:r>
    </w:p>
    <w:p>
      <w:r>
        <w:t>- dies auch gilt, wenn das Anwaltsgeheimnis als gesetzliches Entsiegelungs- hindernis angerufen wird (Urteile des Bundesgerichts 1B_369/2022 vom 10. Oktober 2022 E. 4.3; 1B_472/2021 vom 21. Januar 2022 E. 6.6.2; 1B_243/2020 vom 26. Februar 2021 E. 3.2); Voraussetzung für eine hinrei- chende Substantiierung des Anwaltsgeheimnisses zudem ist, dass für den von der Staatsanwaltschaft umschriebenen Durchsuchungszeitraum ein tat- sächliches anwaltliches Vertretungsverhältnis plausibel aufgezeigt wird (Ur- teile des Bundesgerichts 7B_106/2022 vom 16. November 2023 E. 3.2; 1B_473/2022 vom 12. April 2023 E. 3.1 und 1B_427/2021 vom 21. Januar 2022 E. 6.6.2);</w:t>
      </w:r>
    </w:p>
    <w:p>
      <w:r>
        <w:t>- die Gesuchsgegnerin geltend macht, dass sich anwaltliche Korrespondenz gemäss Art. 50 Abs. 2 VStrR in ihren E-Mails befinde und zwar sowohl die Korrespondenz mit Rechtsanwalt Marc Schmid als auch diejenige mit Rechts- anwalt B.; sich diese E-Mails auf allen ihren elektronischen Geräten befän- den, auf denen ein Zugang zu den E-Mails entweder via E-Mail-App oder via Browser möglich sei; es sich um die Geräte gemäss Beilage 20 des Gesuch- stellers, Nr. 1 und 2 auf der Liste, also ein iPhone 14 und ein anderes iPhone, handle; es zusätzlich um Beilage 21 des Gesuchstellers, Nr. 1, also ein iPad, gehe; es möglich sei, dass auch Korrespondenz ausgedruckt worden sei; sie aber nicht nur via E-Mail, sondern auch via die Chat Applikationen WhatsApp, Telegram und WeChat entweder direkt mit ihren Anwälten geschrieben oder Screenshots der anwaltlichen Korrespondenz an Dritte weitergeleitet habe; sie nicht mehr wisse, inwiefern sie diese Korrespondenz in den Applikationen bereits gelöscht habe; im Rahmen der Entsiegelung sicherzustellen sei, dass der Gesuchsteller keinen Zugriff zu ihrer Anwaltskorrespondenz erhalte; ver- langt werde, dass die Durchsuchung der beiden iPhones und des iPads in Bezug auf diese Applikationen und die E-Mails untersagt werde; sich auf ihren</w:t>
      </w:r>
    </w:p>
    <w:p>
      <w:r>
        <w:t>- 7 -</w:t>
      </w:r>
    </w:p>
    <w:p>
      <w:r>
        <w:t>Geräten neben den Chats in Telegram, WhatsApp und WeChat ferner auch persönliche, private Fotos befänden, wie dies heute auf jedem Smartphone der Fall sei; Smartphone-Benutzer Fotos von unterschiedlichsten Momenten in ihrem Leben sowie auch Screenshots machten; diese Screenshots und persönlichen Fotos mit einem Tagebuch zu vergleichen seien und folglich einem Privatgeheimnis unterstünden;</w:t>
      </w:r>
    </w:p>
    <w:p>
      <w:r>
        <w:t>- soweit die Gesuchsgegnerin das Anwaltsgeheimnis anruft, sie sich auf den blossen Hinweis auf Korrespondenz mit zwei namentlich genannten Rechts- anwälten beschränkt, was nicht genügt (GRAF, Praxishandbuch zur Siegelung, 2022, N. 360 mit Hinweisen); sie nicht darlegt, warum das Anwaltsgeheimnis nur durch ein vollständiges Verbot der Durchsuchung der beiden iPhones und des iPads in Bezug auf die genannten Applikationen und die E-Mails ausreichend gewahrt werden könnte;</w:t>
      </w:r>
    </w:p>
    <w:p>
      <w:r>
        <w:t>- soweit die Gesuchsgegnerin das Privatgeheimnis anruft, sie nicht darlegt, weshalb das geltend gemachte Privatgeheimnis das Interesse an der Auf- klärung der untersuchten Straftaten überwiegt und warum es nur durch ein vollständiges Verbot der Durchsuchung der beiden iPhones und des iPads in Bezug auf die genannten Applikationen und die E-Mails ausreichend ge- wahrt werden könnte;</w:t>
      </w:r>
    </w:p>
    <w:p>
      <w:r>
        <w:t>- die Gesuchsgegnerin somit ihrer Substantiierungspflicht nicht nachgekom- men ist;</w:t>
      </w:r>
    </w:p>
    <w:p>
      <w:r>
        <w:t>- somit mangels substantiierter Vorbringen der Gesuchsgegnerin kein Anlass besteht, ein förmliches Entsiegelungsverfahren durchzuführen;</w:t>
      </w:r>
    </w:p>
    <w:p>
      <w:r>
        <w:t>- nach dem Gesagten auf das Entsiegelungsgesuch nicht einzutreten ist (vgl. hierzu das Urteil des Bundesgerichts 1B_464/2019 vom 17. März 2020) und der Gesuchsteller ohne Weiteres die Durchsuchung, Triage und allfällige Be- schlagnahme der sichergestellten Aufzeichnungen und Gegenstände vor- nehmen kann;</w:t>
      </w:r>
    </w:p>
    <w:p>
      <w:r>
        <w:t>- angesichts des Ausgangs des Verfahrens der pendente Auftrag vom 26. Juni 2024 zur Erstellung einer forensischen Kopie der beiden iPhones (act. 40) zu widerrufen und das Fedpol zu beauftragen ist, nach Eintritt des vorliegen- den Beschlusses die beiden von ihm (neu) versiegelten iPhones an den Ge- suchsteller zu übermitteln, wobei die Stromversorgung der Geräte sicherzu- stellen ist, falls diese zurzeit in Betrieb sind und es einer allfälligen späteren Erstellung einer forensischen Kopie dient, die Geräte in Betrieb zu halten;</w:t>
      </w:r>
    </w:p>
    <w:p>
      <w:r>
        <w:t>- 8 -</w:t>
      </w:r>
    </w:p>
    <w:p>
      <w:r>
        <w:t>- rein formal gesehen der Gesuchsteller unterliegt, indem auf seinen Antrag nicht eingetreten wird, materiell indessen die Gesuchsgegnerin, fällt doch die von ihr angestrebte Unterlassung einer Durchsuchung ausser Betracht (vgl. Beschluss des Bundesstrafgerichts BE.2022.17 vom 26. September 2022);</w:t>
      </w:r>
    </w:p>
    <w:p>
      <w:r>
        <w:t>- die Gerichtskosten in analoger Anwendung von Art. 66 BGG (vgl. hierzu TPF 2011 25 E. 3) mithin der Gesuchsgegnerin aufzuerlegen sind;</w:t>
      </w:r>
    </w:p>
    <w:p>
      <w:r>
        <w:t>- die Gerichtsgebühr für das vorliegende Verfahren auf Fr. 500.– festzusetzen ist (vgl. Art. 25 Abs. 4 VStrR i.V.m Art. 73 StBOG und Art. 5 und 8 Abs. 1 des Reglements des Bundesstrafgerichts vom 31. August 2010 über die Kosten, Gebühren und Entschädigungen in Bundesstrafverfahren [BStKR; SR 173.713.162]);</w:t>
      </w:r>
    </w:p>
    <w:p>
      <w:r>
        <w:t>- 9 -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