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BE.2023.4 vom 17. Mai 2023</w:t>
      </w:r>
    </w:p>
    <w:p>
      <w:r>
        <w:t>Bundesstrafgericht, 2023-05-17, DE</w:t>
      </w:r>
    </w:p>
    <w:p>
      <w:r>
        <w:rPr>
          <w:b/>
        </w:rPr>
        <w:t xml:space="preserve">Quelle: </w:t>
      </w:r>
      <w:r>
        <w:t>https://mcp.opencaselaw.ch/entscheid/bstger_BE.2023.4</w:t>
      </w:r>
    </w:p>
    <w:p>
      <w:r>
        <w:t>FR: TPF BE.2023.4 du 17 mai 2023</w:t>
      </w:r>
    </w:p>
    <w:p>
      <w:r>
        <w:t>IT: TPF BE.2023.4 del 17 maggio 2023</w:t>
      </w:r>
    </w:p>
    <w:p>
      <w:pPr>
        <w:pStyle w:val="Heading2"/>
      </w:pPr>
      <w:r>
        <w:t>Regeste</w:t>
      </w:r>
    </w:p>
    <w:p>
      <w:r>
        <w:t>Entsiegelung (Art. 50 Abs. 3 VStrR); vorsorgliche Massnahmen (Art. 388 StPO analog)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März 2023; BE.20018.18 vom 23. Januar 2019; BE.2018.9 vom 30. No- vember 2018; BE.2017.24 vom 11. Januar 2018; BE.2017.8 vom 6. April 2017);</w:t>
      </w:r>
    </w:p>
    <w:p>
      <w:r>
        <w:t>- unter den vorliegenden Umständen keine Gerichtskosten zu erheben sind (vgl. Art. 66 Abs. 2 BGG analog [vgl. hierzu TPF 2011 25 E. 3]; Beschlüsse des Bundesstrafgerichts BE.2018.9 vom 30. November 2018; BE.2016.2 vom 31. Mai 2016; BE.2015.3 und BE.2015.4 vom 25. August 2015; BE.2014.10 vom 17. September 2014; BE.2014.12 und BE.2014.15 vom 4. September 2014);</w:t>
      </w:r>
    </w:p>
    <w:p>
      <w:r>
        <w:t>- der in ihrem amtlichen Wirkungskreis handelnden Gesuchstellerin keine Par- teientschädigung zuzusprechen ist (Art. 68 Abs. 3 BGG analog).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