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BE.2023.3 vom 3. Mai 2023</w:t>
      </w:r>
    </w:p>
    <w:p>
      <w:r>
        <w:t>Bundesstrafgericht, 2023-05-03, FR</w:t>
      </w:r>
    </w:p>
    <w:p>
      <w:r>
        <w:rPr>
          <w:b/>
        </w:rPr>
        <w:t xml:space="preserve">Quelle: </w:t>
      </w:r>
      <w:r>
        <w:t>https://mcp.opencaselaw.ch/entscheid/bstger_BE.2023.3</w:t>
      </w:r>
    </w:p>
    <w:p>
      <w:r>
        <w:t>FR: TPF BE.2023.3 du 3 mai 2023</w:t>
      </w:r>
    </w:p>
    <w:p>
      <w:r>
        <w:t>IT: TPF BE.2023.3 del 3 maggio 2023</w:t>
      </w:r>
    </w:p>
    <w:p>
      <w:pPr>
        <w:pStyle w:val="Heading2"/>
      </w:pPr>
      <w:r>
        <w:t>Regeste</w:t>
      </w:r>
    </w:p>
    <w:p>
      <w:r>
        <w:t>Levée des scellés (art. 50 al.3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[DPA; RS 313.0]).</w:t>
      </w:r>
    </w:p>
    <w:p>
      <w:r>
        <w:rPr>
          <w:b/>
        </w:rPr>
        <w:t>E. 1.2</w:t>
      </w:r>
    </w:p>
    <w:p>
      <w:r>
        <w:t>Dans la mesure où la DPA ne règle pas exhaustivement certaines questions, les dispositions du Code de procédure pénale suisse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1.3</w:t>
      </w:r>
    </w:p>
    <w:p>
      <w:r>
        <w:t>À teneur des art. 25 al. 1, 50 al. 3 DPA et de l’art. 37 al. 2 let. b de la loi fédérale sur l’organisation des autorités pénales de la Confédération (LOAP; RS 173.71), la Cour des plaintes du Tribunal pénal fédéral est compétente pour statuer sur la présente requête de levée de scellés. L’OFDF est, par ailleurs, indiscutablement légitimé à soumettre une telle requête à la Cour de céans.</w:t>
      </w:r>
    </w:p>
    <w:p>
      <w:r>
        <w:rPr>
          <w:b/>
        </w:rPr>
        <w:t>E. 1.4</w:t>
      </w:r>
    </w:p>
    <w:p>
      <w:r>
        <w:t>La requête de levée des scellés n’est soumise à aucun délai particulier. Bien que le droit pénal administratif ne connaisse pas de délai formel pour le dépôt d’une demande de levée des scellés par l’autorité administrative d’instruction, cette dernière, par les fonctions judiciaires qu’elle revêt à rigueur de loi (v. TPF 2009 84 consid. 2.3), a toutefois l’obligation de tenir compte de manière adéquate du principe de célérité régissant la procédure pénale (art. 29 al. 1 de la Constitution fédérale de la Confédération suisse [Cst.; RS 101] et art. 5 al. 1 CPP), au même titre que tout autre principe général de procédure pénale et de droit administratif (ATF 139 IV 246 consid. 3.2 in fine). La requête de l’OFDF intervient 16 jours après l’opposition de A. et respecte par conséquent le principe de célérité (v. ATF 139 IV 246 consid. 3.2 et 3.3).</w:t>
      </w:r>
    </w:p>
    <w:p>
      <w:r>
        <w:t>- 4 -</w:t>
      </w:r>
    </w:p>
    <w:p>
      <w:r>
        <w:rPr>
          <w:b/>
        </w:rPr>
        <w:t>E. 1.5</w:t>
      </w:r>
    </w:p>
    <w:p>
      <w:r>
        <w:t>Compte tenu de ce qui précède, il convient d’entrer en matière.</w:t>
      </w:r>
    </w:p>
    <w:p>
      <w:r>
        <w:rPr>
          <w:b/>
        </w:rPr>
        <w:t>E. 2</w:t>
      </w:r>
    </w:p>
    <w:p>
      <w:r>
        <w:t>Il ressort du dossier que l’opposante a requis la mise sous scellés de ses téléphones aux motifs qu’elle « […] souhaite mettre [ses] appareils sous scellés car il est exclu que [l’autorité requérante accède] au contenu de [ses] téléphones, et notamment à la partie privée [et qu’il] y a [sa] vie dans ces téléphones » et qu’elle « […] ne veut pas que tout le monde voit [ses] affaires privées » (dossier de l’OFDF, procès-verbal d’interrogatoire du 13 février 2023, p. 11 et 15).</w:t>
      </w:r>
    </w:p>
    <w:p>
      <w:r>
        <w:rPr>
          <w:b/>
        </w:rPr>
        <w:t>E. 2.1</w:t>
      </w:r>
    </w:p>
    <w:p>
      <w:r>
        <w:t>Quant à l’autorité requérante, elle soupçonne A. de faire le commerce de marchandises alimentaires en Suisse depuis un certain temps. Elle explique en outre soupçonner que l’orphelinat « B. » n’ait aucune activité réelle en Suisse ou à l’étranger en raison notamment du manque d’informations le concernant. Ces différents éléments incitent à penser que l’importation du 12 février 2023 n’est pas un cas isolé et qu’elle s’inscrit dans un schéma de fraude plus important qui n’est pour l’heure pas encore établi et dont les destinataires doivent être identifiés. L’OFDF estime qu’il existe de forts soupçons que les téléphones portables mis en sûreté contiennent des informations essentielles pour la suite de l’enquête. L’autorité requérante fait valoir que la pratique a démontré qu’il existait une forte probabilité de trouver, dans les appareils téléphoniques, des données relatives aux ventes des marchandises importées en fraude (conversations avec des destinataires via des plateformes de messagerie, prises de commande, contact avec des fournisseurs, conversations en lien avec l’organisation des importations sans annonce, etc. Selon l’OFDF, la levée des scellés permettra de reconstituer l’ampleur du trafic et d’identifier les fournisseurs ainsi que les commandes et achats effectués auprès de ces derniers, les clients ou destinataires suisses des marchandises vendues/écoulées par l’opposante, la provenance des marchandises vendues/écoulées ainsi que les quantités de marchandises achetées, importées et vendues par celle-ci. L’OFDF considère qu’en raison de la nature particulière des renseignements recherchés – soit notamment la correspondance, les listes de contacts, le journal des appels, ainsi que les coordonnées GPS enregistrées sur lesdits appareils – ceux-ci ne peuvent être obtenus qu’au travers de la perquisition de ces derniers; aucune mesure apte à atteindre le but visé moins invasive que celle-ci ne saurait être envisageable en l’espèce (act. 1, p. 9).</w:t>
      </w:r>
    </w:p>
    <w:p>
      <w:r>
        <w:rPr>
          <w:b/>
        </w:rPr>
        <w:t>E. 3</w:t>
      </w:r>
    </w:p>
    <w:p>
      <w:r>
        <w:t>L’OFDF est l’autorité compétente pour poursuivre et juger les infractions douanières (art. 128 al. 2 de la loi fédérale sur les douanes [LD; RS 631.0]) ainsi qu’en matière d’impôt sur les importations (art. 103 al. 2 de la loi fédérale régissant la taxe sur la valeur ajoutée [LTVA; RS 641.20]). La</w:t>
      </w:r>
    </w:p>
    <w:p>
      <w:r>
        <w:t>- 5 -</w:t>
      </w:r>
    </w:p>
    <w:p>
      <w:r>
        <w:t>poursuite pénale est régie par la DPA (art. 128 al. 1 LD et 101 al. 1 LTVA).</w:t>
      </w:r>
    </w:p>
    <w:p>
      <w:r>
        <w:rPr>
          <w:b/>
        </w:rPr>
        <w:t>E. 3.1</w:t>
      </w:r>
    </w:p>
    <w:p>
      <w:r>
        <w:t>Au nombre des mesures prévues par la DPA figure notamment la perquisition visant des papiers (art. 50 DPA). La perquisition de documents n’est admissible qu’en présence d’indices suffisants de l’existence d’une infraction (ATF 106 IV 413 consid. 4; arrêt du Tribunal fédéral 1B_671/2012 du 8 mai 2013 consid. 3.7.1). La nécessité de la perquisition doit être justifiée par des soupçons précis et objectivement fondés et non pas reposer sur une suspicion générale ou une prévention purement subjective.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rPr>
          <w:b/>
        </w:rPr>
        <w:t>E. 3.2</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rPr>
          <w:b/>
        </w:rPr>
        <w:t>E. 3.3</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les documents et/ou objets de la procédure (art. 50 al. 2 et 3 DPA, v. art. 248 al. 1 et 3 CPP; ATF 144 IV 74 consid. 2.2; 141 IV 77 consid. 4.1; arrêts du Tribunal fédéral 1B_487/2018 du 6 février 2019 consid. 2.2; 1B_433/2017 du 21 mars 2018 consid. 3.3; 1B_210/2017 du 23 octobre 2017 consid. 3.4).</w:t>
      </w:r>
    </w:p>
    <w:p>
      <w:r>
        <w:rPr>
          <w:b/>
        </w:rPr>
        <w:t>E. 3.4</w:t>
      </w:r>
    </w:p>
    <w:p>
      <w:r>
        <w:t>Appelée à se prononcer sur une demande de levée des scellés, l’autorité de céans se doit donc d’examiner, d’une part, si des soupçons suffisants existent quant à la commission d’une infraction et, d’autre part, si les documents présentent « apparemment » une pertinence pour l’instruction en</w:t>
      </w:r>
    </w:p>
    <w:p>
      <w:r>
        <w:t>- 6 -</w:t>
      </w:r>
    </w:p>
    <w:p>
      <w:r>
        <w:t>cours. Ces questions ne peuvent être résolues dans le détail, puisque le contenu même des documents mis sous scellés n’est pas encore connu. L’autorité doit s’en tenir, à ce stade, au principe de l’« utilité potentielle » des pièces saisies (ATF 132 IV 63 consid. 4.3, 4.4 et 4.6; arrêts du Tribunal fédéral 1B_149/2020, 1B_155/2020 du 24 juillet 2020 consid. 6.1 et référence citées; 1B_539/2019 du 19 mars 2020 consid. 3.2.3 et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à rechercher d'office d'éventuels obstacles matériels à la perquisition (arrêt du Tribunal fédéral 1B_433/2017 du 21 mars 2018 consid. 4.14).</w:t>
      </w:r>
    </w:p>
    <w:p>
      <w:r>
        <w:rPr>
          <w:b/>
        </w:rPr>
        <w:t>E. 3.5</w:t>
      </w:r>
    </w:p>
    <w:p>
      <w:r>
        <w:t>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w:t>
      </w:r>
    </w:p>
    <w:p>
      <w:r>
        <w:rPr>
          <w:b/>
        </w:rPr>
        <w:t>E. 4</w:t>
      </w:r>
    </w:p>
    <w:p>
      <w:r>
        <w:t>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w:t>
      </w:r>
    </w:p>
    <w:p>
      <w:r>
        <w:t>- 7 -</w:t>
      </w:r>
    </w:p>
    <w:p>
      <w:r>
        <w:t>à sauvegarder le secret de fonction, ainsi que les secrets confiés aux ecclésiastiques, avocats, notaires, médecins, pharmaciens, sages-femmes et à leurs auxiliaires, en vertu de leur ministère ou de leur profession (al. 2).</w:t>
      </w:r>
    </w:p>
    <w:p>
      <w:r>
        <w:rPr>
          <w:b/>
        </w:rPr>
        <w:t>E. 5</w:t>
      </w:r>
    </w:p>
    <w:p>
      <w:r>
        <w:t>En l’espèce, l’opposante, qui ne s’est pas déterminée sur la requête de levée de scellés, ne remet pas en question l’existence de soupçons suffisants.</w:t>
      </w:r>
    </w:p>
    <w:p>
      <w:r>
        <w:rPr>
          <w:b/>
        </w:rPr>
        <w:t>E. 5.1</w:t>
      </w:r>
    </w:p>
    <w:p>
      <w:r>
        <w:t>Comme vu supra (consid. 3.4) et conformément à la jurisprudence, les détenteurs des papiers ont l’obligation de désigner les pièces qui sont, de leur point de vue, couvertes par le secret invoqué ou qui ne présentent manifestement aucun lien avec l’enquête pénale; les intérêts au maintien du secret doivent être décrits au moins brièvement et rendus vraisemblables, sans que les personnes concernées ne soient tenues de divulguer à ce stade le contenu du secret invoqué (ATF 142 IV 207 consid. 7.1.5 et 11; 141 IV 77 consid. 4.3 et 5.6; 138 IV 225 consid. 7.1 et les arrêts cités). Pour satisfaire à leur obligation de collaborer, les opposants doivent décrire, respectivement rendre vraisemblable, pour chacun des documents en cause, les intérêts au maintien du secret (décision du Tribunal pénal fédéral BE.2017.21-23 du 4 octobre 2019 consid. 8.3.2.4).</w:t>
      </w:r>
    </w:p>
    <w:p>
      <w:r>
        <w:rPr>
          <w:b/>
        </w:rPr>
        <w:t>E. 5.2</w:t>
      </w:r>
    </w:p>
    <w:p>
      <w:r>
        <w:t>Les obligations en matière de motivation du détenteur sont d'autant plus importantes que l'autorité requérante n'a pas accès au contenu des pièces (arrêt du Tribunal fédéral 1B_539/2019 du 19 mars 2020 consid. 3.2.3); cela vaut en particulier lorsque les documents ou données dont la mise sous scellés a été requise sont très nombreux ou très complexes (ATF 141 IV 77 consid. 4.3 et 5.6; 138 IV 225 consid. 7.1; arrêt du Tribunal fédéral 1B_539/2019 du 19 mars 2020 consid. 3.2.3 et les arrêts cités).</w:t>
      </w:r>
    </w:p>
    <w:p>
      <w:r>
        <w:rPr>
          <w:b/>
        </w:rPr>
        <w:t>E. 5.3</w:t>
      </w:r>
    </w:p>
    <w:p>
      <w:r>
        <w:t>Sur ce vu, l’opposante ne peut se contenter d’indiquer que se trouvent, selon toute vraisemblance, dans ses téléphones « sa vie » et « ses affaires privées ». L’opposante n’a même pas chercher à expliquer quels documents requerraient un maintien du secret. Il lui appartenait de décrire précisément les documents couverts par le secret privé et pour quelle raison. Il ne revient en l’espèce pas à la Cour de céans d’effectuer le travail incombant à l’opposante (v. arrêt du Tribunal fédéral 1B_243/2020 du 26 février 2021 consid. 3.2). A contrario, il appert que l’OFDF fait état de soupçons fondés quant à l’existence d’infractions douanières et fiscales.</w:t>
      </w:r>
    </w:p>
    <w:p>
      <w:r>
        <w:rPr>
          <w:b/>
        </w:rPr>
        <w:t>E. 5.4</w:t>
      </w:r>
    </w:p>
    <w:p>
      <w:r>
        <w:t>Faute d’avoir rendu vraisemblable son intérêt au maintien du secret pour les documents mis sous scellés par l’autorité requérante, cette dernière dispose d’un intérêt à pouvoir vérifier, sur la base d’une documentation complète, ses soupçons. Eu égard au principe de l’utilité potentielle, la Cour de céans</w:t>
      </w:r>
    </w:p>
    <w:p>
      <w:r>
        <w:t>- 8 -</w:t>
      </w:r>
    </w:p>
    <w:p>
      <w:r>
        <w:t>retient que l’ensemble des documents saisis peuvent présenter, à ce stade de l’enquête, un intérêt pour l’OFDF. S'il s'avère, après le tri effectué par ce dernier, que ceux-ci ne sont pas pertinents, ils devront être restitués à l’opposante.</w:t>
      </w:r>
    </w:p>
    <w:p>
      <w:r>
        <w:rPr>
          <w:b/>
        </w:rPr>
        <w:t>E. 5.5</w:t>
      </w:r>
    </w:p>
    <w:p>
      <w:r>
        <w:t>Au vu de l’ensemble des éléments qui précèdent, la demande de levée des scellés est admise.</w:t>
      </w:r>
    </w:p>
    <w:p>
      <w:r>
        <w:rPr>
          <w:b/>
        </w:rPr>
        <w:t>E. 6</w:t>
      </w:r>
    </w:p>
    <w:p>
      <w:r>
        <w:t>Conformément à l'art. 25 al. 4 DPA, les frais de la procédure de recours devant la Cour des plaintes se déterminent selon l'art. 73 LOAP. Cette dernière disposition légale ne règle toutefois pas le sort des frais, de sorte qu'il y a lieu d'appliquer par analogie les dispositions relatives à la loi sur le Tribunal fédéral (LTF; RS 173.110), ce qui correspond à la jurisprudence constante (TPF 2011 25 consid. 3; décision du Tribunal pénal fédéral BV.2020.20-22 précitée et références citées).</w:t>
      </w:r>
    </w:p>
    <w:p>
      <w:r>
        <w:rPr>
          <w:b/>
        </w:rPr>
        <w:t>E. 6.1</w:t>
      </w:r>
    </w:p>
    <w:p>
      <w:r>
        <w:t>Aux termes de l'art. 66 al. 1, 1re phrase, LTF, les frais judiciaires sont, en règle générale, mis à la charge de la partie qui succombe.</w:t>
      </w:r>
    </w:p>
    <w:p>
      <w:r>
        <w:rPr>
          <w:b/>
        </w:rPr>
        <w:t>E. 6.2</w:t>
      </w:r>
    </w:p>
    <w:p>
      <w:r>
        <w:t>L’opposante, qui succombe, supportera un émolument, lequel est fixé à CHF 2'000.-- (art. 5 et 8 du règlement du Tribunal pénal fédéral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