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BE.2023.11 vom 28. September 2023</w:t>
      </w:r>
    </w:p>
    <w:p>
      <w:r>
        <w:t>Bundesstrafgericht, 2023-09-28, DE</w:t>
      </w:r>
    </w:p>
    <w:p>
      <w:r>
        <w:rPr>
          <w:b/>
        </w:rPr>
        <w:t xml:space="preserve">Quelle: </w:t>
      </w:r>
      <w:r>
        <w:t>https://mcp.opencaselaw.ch/entscheid/bstger_BE.2023.11</w:t>
      </w:r>
    </w:p>
    <w:p>
      <w:r>
        <w:t>FR: TPF BE.2023.11 du 28 septembre 2023</w:t>
      </w:r>
    </w:p>
    <w:p>
      <w:r>
        <w:t>IT: TPF BE.2023.11 del 28 settembre 2023</w:t>
      </w:r>
    </w:p>
    <w:p>
      <w:pPr>
        <w:pStyle w:val="Heading2"/>
      </w:pPr>
      <w:r>
        <w:t>Regeste</w:t>
      </w:r>
    </w:p>
    <w:p>
      <w:r>
        <w:t>Entsiegelung (Art. 50 Abs. 3 VStrR)</w:t>
      </w:r>
    </w:p>
    <w:p>
      <w:pPr>
        <w:pStyle w:val="Heading2"/>
      </w:pPr>
      <w:r>
        <w:t>Erwägungen</w:t>
      </w:r>
    </w:p>
    <w:p>
      <w:r>
        <w:rPr>
          <w:b/>
        </w:rPr>
        <w:t>E. 1.1</w:t>
      </w:r>
    </w:p>
    <w:p>
      <w:r>
        <w:t>Bei der Verfolgung von Widerhandlungen gegen das Verrechnungssteuer- gesetz findet das Bundesgesetz vom 22. März 1974 über das Verwaltungs- strafrecht (VStrR; SR 313.0) Anwendung. Die verfolgende und urteilende Verwaltungsbehörde ist die ESTV (Art. 67 Abs. 1 VStG).</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w:t>
      </w:r>
    </w:p>
    <w:p>
      <w:r>
        <w:t>- 4 -</w:t>
      </w:r>
    </w:p>
    <w:p>
      <w:r>
        <w:t>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rPr>
          <w:b/>
        </w:rPr>
        <w:t>E. 2.3</w:t>
      </w:r>
    </w:p>
    <w:p>
      <w:r>
        <w:t>Das Entsiegelungsgesuch ist vorliegend formgerecht und 20 Tage nach Er- halt des Siegelungsantrages eingereicht worden. Als Inhaberin der versie- gelten Unterlagen ist die Gesuchsgegnerin berechtigt, gegen deren Durch- suchung Einsprache zu erheben. Auf das Entsiegelungsgesuch ist daher einzutreten.</w:t>
      </w:r>
    </w:p>
    <w:p>
      <w:r>
        <w:rPr>
          <w:b/>
        </w:rPr>
        <w:t>E. 3.1</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rPr>
          <w:b/>
        </w:rPr>
        <w:t>E. 3.2.1</w:t>
      </w:r>
    </w:p>
    <w:p>
      <w:r>
        <w:t>Die Gesuchstellerin führt im Rahmen der Darlegung des Tatverdachts ein- leitend aus, dass es sich bei der Gesuchsgegnerin um eine nicht beschul- digte Dritte handle. Da die Bekanntgabe des Tatverdachts und damit</w:t>
      </w:r>
    </w:p>
    <w:p>
      <w:r>
        <w:t>- 5 -</w:t>
      </w:r>
    </w:p>
    <w:p>
      <w:r>
        <w:t>zusammenhängender Akten an Dritte grundsätzlich dem Steuergeheimnis nach Art. 37 VStG widerspreche, werde der Sachverhalt auf das Notwendige gekürzt und auf die Belege verwiesen, auf welche sich die Gesuchstellerin stütze (act. 1, S. 3 f.).</w:t>
      </w:r>
    </w:p>
    <w:p>
      <w:r>
        <w:rPr>
          <w:b/>
        </w:rPr>
        <w:t>E. 3.2.2</w:t>
      </w:r>
    </w:p>
    <w:p>
      <w:r>
        <w:t>Die Gesuchstellerin äussert sich in Bezug auf den Tatverdacht im Entsiege- lungsgesuch zusammengefasst wie folgt: Im Rahmen der Prüfung der mehr- wertsteuerrelevanten Buchhaltung der C. GmbH durch die Abteilung «externe Prüfung» der Hauptabteilung Mehrwertsteuer seien Unregelmäs- sigkeiten festgestellt worden, die der Abteilung «Strafsachen und Untersu- chungen» der Gesuchstellerin gemeldet worden seien. Diese habe die Un- terlagen ausgewertet und sei zum Schluss gelangt, dass bei der C. GmbH in den Geschäftsjahren 2015 bis 2020 Umsätze aus Möbelhandel aber auch Provisionsertrag aus Vergütungsvereinbarungen zwischen der Gesellschaft und der Versicherungs-Gesellschaft D. nicht erfolgswirksam verbucht und privat vereinnahmt worden seien. Ausserdem seien private Lebenshaltungs- kosten von B. in den Geschäftsbüchern erfasst worden. Konkret ergebe sich in den Geschäftsjahren 2015 bis 2020 zwischen den Umsätzen gemäss in- ternen Umsatzlisten und den tatsächlich in den Buchhaltungskonten ver- buchten Umsätzen eine Diskrepanz von mehreren Millionen Schweizer Fran- ken. Des Weiteren habe die C. GmbH im Jahr 2020 über die Gesuchsgeg- nerin einen Covid-19-Kredit in der Höhe von Fr. 185'000.-- beantragt und ausbezahlt erhalten. In diesem Kreditantrag habe die C. GmbH (als Umsatz- erlös für das Jahr 2019/2018) einen Umsatz von Fr. 1'850'000.-- deklariert. Demgegenüber habe die C. GmbH in den für die steuerliche Beurteilung massgebenden Erfolgsrechnungen für ebendiese Jahre lediglich Umsätze ausgewiesen, die um mehrere hunderttausend Franken tiefer gewesen seien. Schliesslich habe B. anlässlich seiner Einvernahme vom 23. Mai 2023 zu Protokoll gegeben, dass die intern in der C. GmbH erfassten Umsatzzah- len den effektiv mit der Gesellschaft erwirtschafteten Umsatzzahlen entspre- chen würden. Es bestehe daher der Verdacht auf Hinterziehung von Ver- rechnungssteuern nach Art. 61 lit. a VStG im Geschäftsbereich der C. GmbH betreffend die Geschäftsjahre 2015 bis 2020 (act. 1, S. 4 f.).</w:t>
      </w:r>
    </w:p>
    <w:p>
      <w:r>
        <w:rPr>
          <w:b/>
        </w:rPr>
        <w:t>E. 3.2.3</w:t>
      </w:r>
    </w:p>
    <w:p>
      <w:r>
        <w:t>Die Argumentation der Gesuchstellerin, wonach sie sich im Rahmen der Dar- legung des Sachverhalts zwecks Wahrung des Steuergeheimnisses auf das Notwendige beschränkt, ist grundsätzlich nicht zu beanstanden. Jedoch übersieht die Gesuchstellerin dabei, dass sie ihre Ausführungen im Gesuch zu belegen hat (vgl. JEKER, Basler Kommentar, 2020, Art. 50 VStrR N. 63 mit Hinweisen auf die Rechtsprechung), damit insbesondere das Gericht die Voraussetzungen für die Durchsuchung überprüfen kann (vgl. supra E. 3.1). Zwecks Nachweises des hinreichenden Tatverdachts legte die Gesuchstel- lerin ihrem Gesuch lediglich den Covid-19-Kreditantrag vom 31. März 2020</w:t>
      </w:r>
    </w:p>
    <w:p>
      <w:r>
        <w:t>- 6 -</w:t>
      </w:r>
    </w:p>
    <w:p>
      <w:r>
        <w:t>und einen Auszug aus dem Protokoll der Einvernahme vom 23. Mai 2023 bei (act. 1.6, 1.7). Obschon die Gesuchstellerin im Rahmen der Darlegung des Sachverhalts und des dringenden Tatverdachts auf diverse (umfangreiche) Verfahrensakten verweist, reichte sie diese dem Gericht nicht ein. Nament- lich wird im Entsiegelungsgesuch auf folgende Unterlagen verwiesen: in- terne Umsatzlisten pag. 530.200.103-114; Dokumente «Controlling &amp; Nach- kalkulation Messen» und «Umsatzlisten E.» pag. 510.300.014-039, 510.300.043-050 und 530.200.589-734 und Erfolgsrechnungen 530.100.023-028 (act. 1, S. 4). Mangels Vorliegens dieser Unterlagen kann das Gericht die Darstellung des Sachverhalts und damit auch das Vorliegen des für die Durchsuchung notwendigen hinreichenden Tatverdachts nicht abschliessend prüfen. Die ins Recht gelegten Beweismitteln, nämlich der Covid-19-Kreditantrag vom 31. März 2020 und der Auszug aus dem Proto- koll der Einvernahme vom 23. Mai 2023 reicht hierfür nicht aus. Da die Ge- suchstellerin die für die Beurteilung des Entsiegelungsgesuchs notwendigen Verfahrensakten nicht einreichte (und im Übrigen auch keinen Antrag nach Art. 25 Abs. 3 VStrR stellte), ist das Gesuch abzuweisen. Bei diesem Ergeb- nis erübrigt sich die Prüfung der von der Gesuchsgegnerin gegen die Entsie- gelung und Durchsuchung der herausgegebenen Unterlagen erhobenen Einwände (act. 3).</w:t>
      </w:r>
    </w:p>
    <w:p>
      <w:r>
        <w:rPr>
          <w:b/>
        </w:rPr>
        <w:t>E. 3.3</w:t>
      </w:r>
    </w:p>
    <w:p>
      <w:r>
        <w:t>Nach dem Gesagten ist das Entsiegelungsgesuch abzuweisen. Die auf dem USB-Stick abgespeicherten Unterlagen werden nach Eintritt der Rechtskraft des vorliegenden Beschlusses direkt an die Gesuchsgegnerin herausgege- ben.</w:t>
      </w:r>
    </w:p>
    <w:p>
      <w:r>
        <w:rPr>
          <w:b/>
        </w:rPr>
        <w:t>E. 4.1</w:t>
      </w:r>
    </w:p>
    <w:p>
      <w:r>
        <w:t>Bei diesem Ausgang des Verfahrens ist von der Erhebung einer Gerichtsge- bühr abzusehen (Art. 66 Abs. 4 BGG analog; TPF 2011 25 E. 3).</w:t>
      </w:r>
    </w:p>
    <w:p>
      <w:r>
        <w:rPr>
          <w:b/>
        </w:rPr>
        <w:t>E. 4.2</w:t>
      </w:r>
    </w:p>
    <w:p>
      <w:r>
        <w:t>Mangels eines geltend gemachten Aufwands im vorliegenden Verfahren ist von der Entrichtung einer Parteientschädigung an die Gesuchsgegnerin ab- zusehen.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