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BE.2022.9 vom 8. Juni 2022</w:t>
      </w:r>
    </w:p>
    <w:p>
      <w:r>
        <w:t>Bundesstrafgericht, 2022-06-08, DE</w:t>
      </w:r>
    </w:p>
    <w:p>
      <w:r>
        <w:rPr>
          <w:b/>
        </w:rPr>
        <w:t xml:space="preserve">Quelle: </w:t>
      </w:r>
      <w:r>
        <w:t>https://mcp.opencaselaw.ch/entscheid/bstger_BE.2022.9</w:t>
      </w:r>
    </w:p>
    <w:p>
      <w:r>
        <w:t>FR: TPF BE.2022.9 du 8 juin 2022</w:t>
      </w:r>
    </w:p>
    <w:p>
      <w:r>
        <w:t>IT: TPF BE.2022.9 del 8 giugno 2022</w:t>
      </w:r>
    </w:p>
    <w:p>
      <w:pPr>
        <w:pStyle w:val="Heading2"/>
      </w:pPr>
      <w:r>
        <w:t>Regeste</w:t>
      </w:r>
    </w:p>
    <w:p>
      <w:r>
        <w:t>Entsiegelung (Art. 50 Abs. 3 VStrR</w:t>
      </w:r>
    </w:p>
    <w:p>
      <w:pPr>
        <w:pStyle w:val="Heading2"/>
      </w:pPr>
      <w:r>
        <w:t>Erwägungen</w:t>
      </w:r>
    </w:p>
    <w:p>
      <w:r>
        <w:rPr>
          <w:b/>
        </w:rPr>
        <w:t>E. 1.1</w:t>
      </w:r>
    </w:p>
    <w:p>
      <w:r>
        <w:t>Am 1. Januar 2019 ist das Geldspielgesetz in Kraft getreten. Nach Art. 134 Abs. 1 BGS ist bei Widerhandlungen im Zusammenhang mit Spielbanken- spielen das Bundesgesetz vom 22. März 1974 über das Verwaltungsstraf- recht (VStrR; SR 313.0) anwendbar. Verfolgende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w:t>
      </w:r>
    </w:p>
    <w:p>
      <w:r>
        <w:t>- 4 -</w:t>
      </w:r>
    </w:p>
    <w:p>
      <w:r>
        <w:t>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 Die auf Mobilte- lefonen gespeicherten Daten unterliegen nicht dem Fernmeldegeheimnis, weshalb Rechtsschutz mittels Siegelung des sichergestellten Geräts ver- langt werden kann (BGE 144 IV 74 E. 2.4; 143 IV 270 E. 4.6).</w:t>
      </w:r>
    </w:p>
    <w:p>
      <w:r>
        <w:rPr>
          <w:b/>
        </w:rPr>
        <w:t>E. 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aller- dings jeweils noch Abklärungen bezüglich des Festhaltens an der Einspra- che bzw. bezüglich des Umfangs der Einsprache erfolgten (siehe die Be- 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 nach der Hausdurchsuchung und Siegelung erfolgte (Beschluss des Bun- desstrafgerichts BE.2013.8 vom 5. Dezember 2013 E. 1.4.3).</w:t>
      </w:r>
    </w:p>
    <w:p>
      <w:r>
        <w:t>- 5 -</w:t>
      </w:r>
    </w:p>
    <w:p>
      <w:r>
        <w:rPr>
          <w:b/>
        </w:rPr>
        <w:t>E. 2.3</w:t>
      </w:r>
    </w:p>
    <w:p>
      <w:r>
        <w:t>Das Entsiegelungsgesuch ist vorliegend formgerecht und rund sechs Wo- chen nach der Siegelung des Mobiltelefons eingereicht worden. Als Eigen- tümer des sichergestellten Mobiltelefons durfte der Gesuchsgegner dessen Siegelung verlangen. Es liegen sämtliche Eintretensvoraussetzungen vor, weshalb auf das Entsiegelungsgesuch einzutreten ist.</w:t>
      </w:r>
    </w:p>
    <w:p>
      <w:r>
        <w:rPr>
          <w:b/>
        </w:rPr>
        <w:t>E. 3.1</w:t>
      </w:r>
    </w:p>
    <w:p>
      <w:r>
        <w:t>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 Einwände gegen die Durchsuchung einen Grund zur Siegelung darstellen können, mithin die Siegelung auch aus Gründen mangelnden Tatverdachts sowie wegen fehlender Beweisrelevanz verlangt werden kann, sofern es dem Berechtigten im Ergebnis darum geht, die Einsichtnahme der Untersu- chungsbehörde in die sichergestellten Unterlagen und deren Verwertung zu verhindern (Urteil des Bundesgerichts 1B_117/2012 vom 26. März 2012 E. 3.2 f.).</w:t>
      </w:r>
    </w:p>
    <w:p>
      <w:r>
        <w:rPr>
          <w:b/>
        </w:rPr>
        <w:t>E. 3.2</w:t>
      </w:r>
    </w:p>
    <w:p>
      <w:r>
        <w:t>Gemäss Art. 130 Abs. 1 BGS wird mit bis zu drei Jahren Freiheitsstrafe oder mit Geldstrafe bestraft, wer vorsätzlich ohne die dafür nötigen Konzes- sionen oder Bewilligungen Spielbankenspiele durchführt, organisiert oder zur Verfügung stellt (lit. a) oder im Wissen um den geplanten Verwendungs- zweck die technischen Mittel zur Veranstaltung von Spielbanken- oder Grossspielen Personen zur Verfügung stellt (lit. b). Spielbankenspiele sind Geldspiele, die einer eng begrenzten Anzahl Personen offenstehen; ausgenommen sind die Sportwetten, die Geschicklichkeitsspiele und die Kleinspiele (Art. 3 lit. g BGS).</w:t>
      </w:r>
    </w:p>
    <w:p>
      <w:r>
        <w:rPr>
          <w:b/>
        </w:rPr>
        <w:t>E. 3.3</w:t>
      </w:r>
    </w:p>
    <w:p>
      <w:r>
        <w:t>Die Gesuchstellerin hielt im Bericht vom 28. Januar 2022 unter anderem fest, dass sie im Ladenlokal im Erdgeschoss an der D.-strasse 27 in Z. zwei oder drei Automaten mit darauf installierten Spielbankenspielen vermutete. Bei</w:t>
      </w:r>
    </w:p>
    <w:p>
      <w:r>
        <w:t>- 6 -</w:t>
      </w:r>
    </w:p>
    <w:p>
      <w:r>
        <w:t>den Betreibern der Geräte soll es sich aufgrund anonymer Anzeige vom 27. Oktober 2021 und weiterer Hinweise um G. und E. handeln, gegen die bereits ein Verwaltungsstrafverfahren laufe. Kurz vor der Hausdurchsuchung habe die Stadtpolizei Zürich die Information erhalten, dass sich in den Räum- lichkeiten an der D.-strasse 27 allenfalls auch der Gesuchsgegner aufhalten werde, der für den Betrieb vor Ort zuständig sein könnte und gegen welchen sie ebenfalls bereits ein Verwaltungsstrafverfahren (Nr. 62-2021-089) wegen des Verdachts der Widerhandlung gegen das BGS führe (act. 1.8).</w:t>
      </w:r>
    </w:p>
    <w:p>
      <w:r>
        <w:t>Anlässlich der Hausdurchsuchung vom 26. Januar 2022 an der D.-strasse 27 wurde unter anderem ein eingeschalteter All-in-One PC sichergestellt, auf welchem das mutmassliche Spielbankenspiel auf der Spielplattform «grandx.org» aufgeschaltet war, an welchem zum Zeitpunkt der Hausdurch- suchung F. gespielt hatte. Im Abfallkübel lag Bargeld in Höhe von Fr. 160.--. Als die Gesuchstellerin und die Polizei die Räumlichkeiten gewalt- sam öffneten, stand neben diesem Abfallkübel der Gesuchsgegner. Der vor Ort angetroffene F. gab an, dass er das Lokal an der D.-strasse 27 seit ca. drei Monaten besuche und dort ungefähr einmal im Monat spiele. Man könne dort Glückspiele spielen; er habe das Spiel «Mystery Seven» gespielt. Wie er an diesem Tag wahrgenommen habe, sei der Gesuchsgegner die für das Lokal verantwortliche Person. Die im Lokal festgestellten Geräte (All-in- One PC's) seien dort zum Spielen. Eine Person helfe ihm, auf die Spielober- fläche zu gelangen. Am Tag der Hausdurchsuchung habe ihm die dort an- wesende Person mit den roten Schuhen (d.h. der Gesuchsgegner) geholfen. Wenn er Probleme mit dem sichergestellten Gerät gehabt habe, habe er sich an den Gesuchsgegner gewendet. Die Türe zum Lokal habe ihm ebenfalls der Gesuchsgegner geöffnet (act. 1.10, S. 3 ff.). Damit besteht der Verdacht, dass zumindest auf einem eingeschalteten All-in-One PC mutmasslich ein Glücksspiel gespielt wurde.</w:t>
      </w:r>
    </w:p>
    <w:p>
      <w:r>
        <w:t>Im Verwaltungsstrafverfahren Nr. 62-2021-085 befragte die Beschwerde- gegnerin am 29. September 2021 H. als Auskunftsperson, wobei der Ge- suchsgegner als Beschuldigter dieser Befragung beiwohnte (act. 1.12). Da- bei ging es um die an diesem Tag durchgeführte Hausdurchsuchung des Lokals an der B.-strasse 7 in Z., nachdem der Verdacht bestand, dass dort illegales Glücksspiel gespielt werde. H. bestätigte, an diesem Tag am sicher- gestellten Gerät gespielt zu haben und gab zudem an, dass für dieses Lokal der Gesuchsgegner verantwortlich sei. Der Gesuchsgegner habe ihm am Computer eine «Seite» geöffnet und er habe den Einsatz von Fr. 50.-- dem Gesuchsgegner bezahlt. Aufgrund dieser Aussage besteht der Verdacht, dass der Gesuchsgegner nicht nur für das Lokal an der B.-strasse 7, sondern auch für dasjenige an der D.-strasse 27 in Z. verantwortlich sein könnte.</w:t>
      </w:r>
    </w:p>
    <w:p>
      <w:r>
        <w:t>- 7 -</w:t>
      </w:r>
    </w:p>
    <w:p>
      <w:r>
        <w:rPr>
          <w:b/>
        </w:rPr>
        <w:t>E. 3.4</w:t>
      </w:r>
    </w:p>
    <w:p>
      <w:r>
        <w:t>Angesichts der oben dargestellten Ermittlungsergebnisse ist ein hinreichen- der Anfangstatverdacht in Bezug auf eine Widerhandlung gegen Art. 130 Abs. 1 lit. a BGS zu bejahen, welcher auch den Einsatz von Zwangsmass- nahmen wie Durchsuchungen und Sicherstellungen erlaubt. Die durchge- führte Hausdurchsuchung genügt den gesetzlichen Anforderungen, was vom Gesuchsgegner im Übrigen nicht bestritten wird.</w:t>
      </w:r>
    </w:p>
    <w:p>
      <w:r>
        <w:rPr>
          <w:b/>
        </w:rPr>
        <w:t>E. 4.1</w:t>
      </w:r>
    </w:p>
    <w:p>
      <w:r>
        <w:t>Weiter ist zu prüfen, ob anzunehmen ist, dass sich unter den zu durchsu- chenden Papieren und Schriften bzw. auf dem hier gegenständlichen Mobil- telefon Dateien befinden, die für die Untersuchung von Bedeutung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 wiefern die versiegelten Unterlagen grundsätzlich verfahrenserheblich sind (sog. «potenzielle Erheblichkeit», vgl. BGE 132 IV 63 E. 4.4; Urteil des Bun- desgerichts 1B_336/2018 vom 8. November 2018 E. 4.3). Betroffene Inhaber von Aufzeichnungen und Gegenständen, welche die Versiegelung beantra- gen bzw. Durchsuchungshindernisse geltend machen, haben ihrerseits die prozessuale Obliegenheit, jene Gegenstände zu benennen, die ihrer Ansicht nach offensichtlich keinen Sachzusammenhang mit der Strafuntersuchung aufweisen. Dies gilt besonders, wenn sie die Versiegelung von sehr umfang- reichen bzw. komplexen Dokumenten oder Dateien verlangt haben (Urteile des Bundesgerichts 1B_525/2017 vom 4. Mai 2018 E. 3.1; 1B_637/2012 vom 8. Mai 2013 E. 3.8.1 in fine; siehe zur StPO auch BGE 138 IV 225 E. 7.1; 137 IV 189 E. 4.2, 5.1.1, 5.3.3; Urteil des Bundesgerichts 1B_98/2018 vom 29. Mai 2018 E. 3.3). Stellt die Verwaltungsstrafbehörde beim zuständi- gen Entsiegelungsrichter den Antrag, die versiegelten Unterlagen seien zu entsiegeln, prüft der Entsiegelungsrichter im Untersuchungsverfahren, ob die Geheimnisschutzinteressen (oder andere gesetzliche Entsiegelungshin- dernisse), welche vom Inhaber oder der Inhaberin der versiegelten Aufzeich- nungen und Gegenstände angerufen werden, einer Durchsuchung seitens der Verwaltungsstrafbehörde entgegenstehen (Art. 50 Abs. 2-3 VStrR; Art. 248 Abs. 1 und Abs. 3 StPO; BGE 141 IV 77 E. 4.1 S. 81; 137 IV 189 E. 4 S. 194 f.; Urteile des Bundesgerichts 1B_210/2017 vom 23. Oktober 2017 E. 3.4; 1B_433/2017 vom 21. März 2018 E. 3.3).</w:t>
      </w:r>
    </w:p>
    <w:p>
      <w:r>
        <w:rPr>
          <w:b/>
        </w:rPr>
        <w:t>E. 4.2</w:t>
      </w:r>
    </w:p>
    <w:p>
      <w:r>
        <w:t>Angesichts der bisherigen Ermittlungsergebnisse besteht der Verdacht, dass der Gesuchsgegner – allenfalls zusammen mit E. und weiteren Personen –</w:t>
      </w:r>
    </w:p>
    <w:p>
      <w:r>
        <w:t>- 8 -</w:t>
      </w:r>
    </w:p>
    <w:p>
      <w:r>
        <w:t>für die in den durchsuchten Räumlichkeiten an der D.-strasse 27 in Z. sicher- gestellten Geräte verantwortlich sein könnte (supra E. 3.3). Mithin kann die Auswertung des Mobiltelefons des Gesuchsgegners bei den Ermittlungen von Nutzen sein. Namentlich könnten sich die darin befindlichen Informatio- nen (Kontakte, Unterhaltungen, Fotos usw.) Aufschluss über die Rolle des Gesuchsgegners, allfällige Mittäter sowie das Vorgehen der Täterschaft ge- ben.</w:t>
      </w:r>
    </w:p>
    <w:p>
      <w:r>
        <w:rPr>
          <w:b/>
        </w:rPr>
        <w:t>E. 4.3</w:t>
      </w:r>
    </w:p>
    <w:p>
      <w:r>
        <w:t>Der Gesuchsgegner begründete die Einsprache anlässlich der Einvernahme vom 27. Januar 2022 damit, dass in der Applikation WhatsApp private Nach- richten und Bilder enthalten seien, die von der Gesuchstellerin nicht zu sich- ten seien. Es handle sich um private Bilder und Chats (act. 1.1). Diese ledig- lich allgemein gehaltene Behauptung genügt der dem Gesuchsgegner oblie- genden Substantiierungspflicht nicht. Der Gesuchsgegner präzisierte auch in der Gesuchsantwort vom 23. März 2022 nicht, um welche konkrete Bilder oder Chats es sich dabei handeln soll. Selbst bei ausreichenden Substantii- rung würde das Strafverfolgungsinteresse das Interesse des Gesuchsgeg- ners an der Wahrung von Privatgeheimnissen überwiegen. Die Durchsu- chung des Mobiltelefons des Gesuchsgegners ist in Anbetracht des zu un- tersuchenden Vergehens gegen das BGS zudem verhältnismässig.</w:t>
      </w:r>
    </w:p>
    <w:p>
      <w:r>
        <w:rPr>
          <w:b/>
        </w:rPr>
        <w:t>E. 5</w:t>
      </w:r>
    </w:p>
    <w:p>
      <w:r>
        <w:t>Nach dem Gesagten ist das Entsiegelungsgesuch gutzuheissen und die Ge- suchstellerin ist zu ermächtigen, die sichergestellten Daten ab Mobiltelefon U50618 (iPhone 11) des Gesuchsgegners zu entsiegeln und zu durchsu- chen.</w:t>
      </w:r>
    </w:p>
    <w:p>
      <w:r>
        <w:rPr>
          <w:b/>
        </w:rPr>
        <w:t>E. 6</w:t>
      </w:r>
    </w:p>
    <w:p>
      <w:r>
        <w:t>Die Gerichtskosten sind bei diesem Ausgang des Verfahrens dem Gesuchs- gegner aufzuerlegen (vgl. Art. 25 Abs. 4 VStrR i.V.m. Art. 66 Abs. 1 BGG analog; TPF 2011 25 E. 3). Die Gerichtsgebühr ist auf Fr. 1'500.-- festzuset- zen (vgl. Art. 5 sowie Art.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