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BE.2022.8 vom 17. August 2022</w:t>
      </w:r>
    </w:p>
    <w:p>
      <w:r>
        <w:t>Bundesstrafgericht, 2022-08-17, DE</w:t>
      </w:r>
    </w:p>
    <w:p>
      <w:r>
        <w:rPr>
          <w:b/>
        </w:rPr>
        <w:t xml:space="preserve">Quelle: </w:t>
      </w:r>
      <w:r>
        <w:t>https://mcp.opencaselaw.ch/entscheid/bstger_BE.2022.8</w:t>
      </w:r>
    </w:p>
    <w:p>
      <w:r>
        <w:t>FR: TPF BE.2022.8 du 17 août 2022</w:t>
      </w:r>
    </w:p>
    <w:p>
      <w:r>
        <w:t>IT: TPF BE.2022.8 del 17 agosto 2022</w:t>
      </w:r>
    </w:p>
    <w:p>
      <w:pPr>
        <w:pStyle w:val="Heading2"/>
      </w:pPr>
      <w:r>
        <w:t>Regeste</w:t>
      </w:r>
    </w:p>
    <w:p>
      <w:r>
        <w:t>Entsiegelung (Art. 50 Abs. 3 VStrR); Rückzug des Entsiegelungsgesuchs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Nachdem das BAZG mit Eingabe vom 15. August 2022 das Entsiegelungs- gesuch zurückgezogen hat, ist es als erledigt abzuschreiben.</w:t>
      </w:r>
    </w:p>
    <w:p>
      <w:r>
        <w:rPr>
          <w:b/>
        </w:rPr>
        <w:t>E. 2.1</w:t>
      </w:r>
    </w:p>
    <w:p>
      <w:r>
        <w:t>Beim Entsiegelungsverfahren nach Art. 50 Abs. 3 des Bundesgesetzes über das Verwaltungsstrafrecht (VStrR; SR 313.0) handelt es sich um ein Verfah- ren, das durch ein Gericht durchgeführt wird, weshalb für die Kosten- und Entschädigungsfolgen die Normen über das gerichtliche Verfahren anzu- wenden sind (Beschlüsse des Bundesstrafgerichts BE.2017.5 vom 30. Au- gust 2017 E. 2.1; BE.2016.4 vom 17. Februar 2017 E. 2.2).</w:t>
      </w:r>
    </w:p>
    <w:p>
      <w:r>
        <w:rPr>
          <w:b/>
        </w:rPr>
        <w:t>E. 2.2</w:t>
      </w:r>
    </w:p>
    <w:p>
      <w:r>
        <w:t>Entsprechend richtet sich die Kostentragung beim Entsiegelungsverfahren nach Art. 428 StPO. Nach dieser Bestimmung gilt als unterliegende Partei, wer das Rechtsmittel zurückzieht (Art. 428 Abs. 1 StPO). Die Gesuchstellerin würde somit grundsätzlich kostenpflichtig. Da der Verwaltung jedoch keine Gerichtskosten aufzuerlegen sind (Art. 66 Abs. 4 BGG analog; TPF 2011 25 E. 3), ist keine Gerichtsgebühr zu erheben.</w:t>
      </w:r>
    </w:p>
    <w:p>
      <w:r>
        <w:rPr>
          <w:b/>
        </w:rPr>
        <w:t>E. 2.3.1</w:t>
      </w:r>
    </w:p>
    <w:p>
      <w:r>
        <w:t>Für die Entschädigung im gerichtlichen Verfahren verweist Art. 101 Abs. 1 VStrR auf die sinngemässe Anwendung von Art. 99 VStrR. Diese Bestimmung ist indessen nicht auf die Entschädigung von Prozess-</w:t>
      </w:r>
    </w:p>
    <w:p>
      <w:r>
        <w:t>- 4 -</w:t>
      </w:r>
    </w:p>
    <w:p>
      <w:r>
        <w:t>kosten ausgerichtet, sondern regelt die Entschädigung von Untersuchungs- haft und Folgen anderer Zwangsmassnahmen. Entsprechend wendet die Beschwerdekammer Art. 68 Abs. 1 und 2 BGG für die Entschädigung von Prozesskosten analog an, wobei Obsiegen und Unterliegen die massgebli- chen Kriterien bilden (vgl. Beschlüsse der Beschwerdekammer BV.2021.27 vom 5. Januar 2022 E. 4.2.1; BV.2018.25 vom 26. November 2018 E. 6.2; BE.2016.4 vom 17. Februar 2017 E. 2.3). Damit hat die obsiegende Ge- suchsgegnerin Anspruch auf Parteientschädigung.</w:t>
      </w:r>
    </w:p>
    <w:p>
      <w:r>
        <w:rPr>
          <w:b/>
        </w:rPr>
        <w:t>E. 2.3.2</w:t>
      </w:r>
    </w:p>
    <w:p>
      <w:r>
        <w:t>Der Rechtsvertreter der Gesuchsgegnerin hat der Beschwerdekammer keine Kostennote eingereicht, weshalb die Parteientschädigung ermessens- weise auf Fr. 800.-- (inkl. MwSt.) festzulegen ist. Dabei wird der Umstand berücksichtigt, dass das vorliegende Verfahren nicht sonderlich komplex er- scheint.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