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BE.2022.5 vom 30. März 2022</w:t>
      </w:r>
    </w:p>
    <w:p>
      <w:r>
        <w:t>Bundesstrafgericht, 2022-03-30, DE</w:t>
      </w:r>
    </w:p>
    <w:p>
      <w:r>
        <w:rPr>
          <w:b/>
        </w:rPr>
        <w:t xml:space="preserve">Quelle: </w:t>
      </w:r>
      <w:r>
        <w:t>https://mcp.opencaselaw.ch/entscheid/bstger_BE.2022.5</w:t>
      </w:r>
    </w:p>
    <w:p>
      <w:r>
        <w:t>FR: TPF BE.2022.5 du 30 mars 2022</w:t>
      </w:r>
    </w:p>
    <w:p>
      <w:r>
        <w:t>IT: TPF BE.2022.5 del 30 marzo 2022</w:t>
      </w:r>
    </w:p>
    <w:p>
      <w:pPr>
        <w:pStyle w:val="Heading2"/>
      </w:pPr>
      <w:r>
        <w:t>Regeste</w:t>
      </w:r>
    </w:p>
    <w:p>
      <w:r>
        <w:t>Entsiegelung (Art. 50 Abs. 3 VStrR)</w:t>
      </w:r>
    </w:p>
    <w:p>
      <w:pPr>
        <w:pStyle w:val="Heading2"/>
      </w:pPr>
      <w:r>
        <w:t>Erwägungen</w:t>
      </w:r>
    </w:p>
    <w:p>
      <w:r>
        <w:rPr>
          <w:b/>
        </w:rPr>
        <w:t>E. 5</w:t>
      </w:r>
    </w:p>
    <w:p>
      <w:r>
        <w:t>Mai 2020; vgl. Urteil des Bundesgerichts 6B_541/2014 vom 23. Septem- ber 2014 E. 1.3; vgl. auch Urteil des Bundesgerichts 1C_236/2016 vom 15. November 2016 E. 3.6; a.M. LEONOVA, Basler Kommentar, 2020, Vor Art. 25–28 VStrR N. 23 mit Hinweisen);</w:t>
      </w:r>
    </w:p>
    <w:p>
      <w:r>
        <w:t>- mithin die gesetzliche Fiktion gilt, dass dem Gesuchsgegner die Einladung zur allfälligen Gesuchsantwort zugestellt wurde;</w:t>
      </w:r>
    </w:p>
    <w:p>
      <w:r>
        <w:t>- sich der Gesuchsgegner im Entsiegelungsverfahren innert Frist und bis heute nicht vernehmen liess; der Gesuchsgegner damit auch im Entsiege- lungsverfahren keine Geheimnisrechte anruft;</w:t>
      </w:r>
    </w:p>
    <w:p>
      <w:r>
        <w:t>- mangels substanziierter Vorbringen des Gesuchsgegners für die Beschwer- dekammer kein Anlass besteht, ein förmliches Entsiegelungsverfahren durchzuführen;</w:t>
      </w:r>
    </w:p>
    <w:p>
      <w:r>
        <w:t>- 4 -</w:t>
      </w:r>
    </w:p>
    <w:p>
      <w:r>
        <w:t>- damit insbesondere offenbleiben kann, ob es sich bei den sichergestellten Geräten überhaupt um siegelungsfähige Gegenstände handelt;</w:t>
      </w:r>
    </w:p>
    <w:p>
      <w:r>
        <w:t>- nach dem Gesagten auf das Entsiegelungsgesuch nicht einzutreten ist (vgl. hierzu Urteil des Bundesgerichts 1B_464/2019 vom 17. März 2020); die Ge- suchstellerin ohne Weiteres die Durchsuchung, Triage und allfällige Be- schlagnahme der betreffenden Sicherstellungen vornehmen kann;</w:t>
      </w:r>
    </w:p>
    <w:p>
      <w:r>
        <w:t>- rein formal gesehen die Gesuchstellerin unterliegt, indem auf ihren Antrag nicht eingetreten wird, materiell indessen der Gesuchsgegner, fällt doch die von ihm angestrebte Unterlassung einer Durchsuchung ausser Betracht;</w:t>
      </w:r>
    </w:p>
    <w:p>
      <w:r>
        <w:t>- analog Art. 66 BGG (vgl. hierzu TPF 2011 25 E. 3) damit die Gesuchstellerin obsiegt;</w:t>
      </w:r>
    </w:p>
    <w:p>
      <w:r>
        <w:t>- die Gerichtskosten mithin dem Gesuchsgegner aufzuerlegen sind; die Ge- richtsgebühr auf Fr. 500.– festzusetzen ist (Art. 25 Abs. 4 VStrR i.V.m. Art. 73 StBOG und Art. 5 sowie 8 Abs. 1 des Reglements des Bundesstrafgerichts vom 31. August 2010 über die Kosten, Gebühren und Entschädigungen in Bundesstrafverfahren [BStKR; SR 173.713.162]); bei diesem Ausgang des Verfahrens keine Parteientschädigung zuzusprechen ist;</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Ge- suchsgegner in Deutschland übersendet werden kann;</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