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BE.2022.18 vom 5. April 2023</w:t>
      </w:r>
    </w:p>
    <w:p>
      <w:r>
        <w:t>Bundesstrafgericht, 2023-04-05, DE</w:t>
      </w:r>
    </w:p>
    <w:p>
      <w:r>
        <w:rPr>
          <w:b/>
        </w:rPr>
        <w:t xml:space="preserve">Quelle: </w:t>
      </w:r>
      <w:r>
        <w:t>https://mcp.opencaselaw.ch/entscheid/bstger_BE.2022.18</w:t>
      </w:r>
    </w:p>
    <w:p>
      <w:r>
        <w:t>FR: TPF BE.2022.18 du 5 avril 2023</w:t>
      </w:r>
    </w:p>
    <w:p>
      <w:r>
        <w:t>IT: TPF BE.2022.18 del 5 aprile 2023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dem Rückzug der Siegelungsbegehren (resp. der Einsprachen gegen die Durchsuchung) und dem Antrag der EStV, alle vom 9. Januar 2023, ist das Verfahren als gegenstandslos geworden vom Geschäftsverzeichnis ab- zuschreiben.</w:t>
      </w:r>
    </w:p>
    <w:p>
      <w:r>
        <w:rPr>
          <w:b/>
        </w:rPr>
        <w:t>E. 2</w:t>
      </w:r>
    </w:p>
    <w:p>
      <w:r>
        <w:t>Ausgangsgemäss ist die Gerichtsgebühr in Anwendung von Art. 25 Abs. 4 VStrR i.V.m. Art. 66 Abs. 1 BGG analog (siehe dazu TPF 2011 25 E. 3; sowie Art. 5 und 8 Abs. 1 des Reglements des Bundesstrafgerichts vom 31. August 2010 über die Kosten, Gebühren und Entschädigungen in Bundesstrafver- fahren, BStKR; SR 173.713.162) auf das gesetzliche Minimum von Fr. 200.-- festzusetzen (Art. 73 Abs. 3 lit. c StBOG) und den Gesuchsgeg- nern unter solidarischer Haftung aufzuerlegen.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