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BE.2022.11 vom 28. März 2023</w:t>
      </w:r>
    </w:p>
    <w:p>
      <w:r>
        <w:t>Bundesstrafgericht, 2023-03-28, DE</w:t>
      </w:r>
    </w:p>
    <w:p>
      <w:r>
        <w:rPr>
          <w:b/>
        </w:rPr>
        <w:t xml:space="preserve">Quelle: </w:t>
      </w:r>
      <w:r>
        <w:t>https://mcp.opencaselaw.ch/entscheid/bstger_BE.2022.11</w:t>
      </w:r>
    </w:p>
    <w:p>
      <w:r>
        <w:t>FR: TPF BE.2022.11 du 28 mars 2023</w:t>
      </w:r>
    </w:p>
    <w:p>
      <w:r>
        <w:t>IT: TPF BE.2022.11 del 28 marzo 2023</w:t>
      </w:r>
    </w:p>
    <w:p>
      <w:pPr>
        <w:pStyle w:val="Heading2"/>
      </w:pPr>
      <w:r>
        <w:t>Regeste</w:t>
      </w:r>
    </w:p>
    <w:p>
      <w:r>
        <w:t>Entsiegelung (Art. 50 Abs. 3 VStrR)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Nach der Eingabe der ESBK vom 14. Dezember 2022 ist das Entsiegelungs- verfahren als durch Rückzug des Gesuchs erledigt von der Geschäftskon- trolle abzuschreiben.</w:t>
      </w:r>
    </w:p>
    <w:p>
      <w:r>
        <w:rPr>
          <w:b/>
        </w:rPr>
        <w:t>E. 2</w:t>
      </w:r>
    </w:p>
    <w:p>
      <w:r>
        <w:t>Es sind keine Gerichtskosten zu erheben (vgl. Art. 66 Abs. 4 BGG per ana- logiam). Mangels entsprechenden Antrags und Aufwands ist A. keine Pro- zessentschädigung zuzusprechen (vgl. Art. 68 BGG per analogiam).</w:t>
      </w:r>
    </w:p>
    <w:p>
      <w:r>
        <w:t>- 3 -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