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BE.2021.7 vom 28. Juli 2021</w:t>
      </w:r>
    </w:p>
    <w:p>
      <w:r>
        <w:t>Bundesstrafgericht, 2021-07-28, DE</w:t>
      </w:r>
    </w:p>
    <w:p>
      <w:r>
        <w:rPr>
          <w:b/>
        </w:rPr>
        <w:t xml:space="preserve">Quelle: </w:t>
      </w:r>
      <w:r>
        <w:t>https://mcp.opencaselaw.ch/entscheid/bstger_BE.2021.7</w:t>
      </w:r>
    </w:p>
    <w:p>
      <w:r>
        <w:t>FR: TPF BE.2021.7 du 28 juillet 2021</w:t>
      </w:r>
    </w:p>
    <w:p>
      <w:r>
        <w:t>IT: TPF BE.2021.7 del 28 luglio 2021</w:t>
      </w:r>
    </w:p>
    <w:p>
      <w:pPr>
        <w:pStyle w:val="Heading2"/>
      </w:pPr>
      <w:r>
        <w:t>Regeste</w:t>
      </w:r>
    </w:p>
    <w:p>
      <w:r>
        <w:t>Entsiegelung (Art.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Januar 2019);</w:t>
      </w:r>
    </w:p>
    <w:p>
      <w:r>
        <w:t>- unter Berücksichtigung der Zwischenverfügungen vom 6. und 19. Juli 2021 die Gerichtsgebühr auf Fr. 500.-- festzulegen (Art. 5 und 8 Abs. 1 BStKR) und den Gesuchsgegnern unter solidarischer Haftung aufzuerlegen ist (vgl. Art. 25 Abs. 4 VStrR i.V.m. Art. 66 Abs. 1 BGG analog; TPF 2011 25 E. 3]);</w:t>
      </w:r>
    </w:p>
    <w:p>
      <w:r>
        <w:t>- der in ihrem amtlichen Wirkungskreis handelnden Gesuchstellerin keine Parteient- schädigung zuzusprechen ist (vgl. Art. 68 Abs. 3 BGG analog);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