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BE.2021.2 vom 2. Juli 2021</w:t>
      </w:r>
    </w:p>
    <w:p>
      <w:r>
        <w:t>Bundesstrafgericht, 2021-07-02, FR</w:t>
      </w:r>
    </w:p>
    <w:p>
      <w:r>
        <w:rPr>
          <w:b/>
        </w:rPr>
        <w:t xml:space="preserve">Quelle: </w:t>
      </w:r>
      <w:r>
        <w:t>https://mcp.opencaselaw.ch/entscheid/bstger_BE.2021.2</w:t>
      </w:r>
    </w:p>
    <w:p>
      <w:r>
        <w:t>FR: TPF BE.2021.2 du 2 juillet 2021</w:t>
      </w:r>
    </w:p>
    <w:p>
      <w:r>
        <w:t>IT: TPF BE.2021.2 del 2 luglio 2021</w:t>
      </w:r>
    </w:p>
    <w:p>
      <w:pPr>
        <w:pStyle w:val="Heading2"/>
      </w:pPr>
      <w:r>
        <w:t>Regeste</w:t>
      </w:r>
    </w:p>
    <w:p>
      <w:r>
        <w:t>Levée des scellés (art. 50 al. 3 DPA).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janvier 2021, la présente procédure est devenue sans objet;</w:t>
      </w:r>
    </w:p>
    <w:p>
      <w:r>
        <w:t>− celle-ci doit, partant, être rayée du rôle;</w:t>
      </w:r>
    </w:p>
    <w:p>
      <w:r>
        <w:t>− il y a lieu de statuer sans frais, dès lors que le retrait desdites requêtes de mise sous scellés est intervenu à un stade peu avancé de la procédure.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