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BE.2021.16B vom 7. September 2023</w:t>
      </w:r>
    </w:p>
    <w:p>
      <w:r>
        <w:t>Bundesstrafgericht, 2023-09-07, FR</w:t>
      </w:r>
    </w:p>
    <w:p>
      <w:r>
        <w:rPr>
          <w:b/>
        </w:rPr>
        <w:t xml:space="preserve">Quelle: </w:t>
      </w:r>
      <w:r>
        <w:t>https://mcp.opencaselaw.ch/entscheid/bstger_BE.2021.16B</w:t>
      </w:r>
    </w:p>
    <w:p>
      <w:r>
        <w:t>FR: TPF BE.2021.16B du 7 septembre 2023</w:t>
      </w:r>
    </w:p>
    <w:p>
      <w:r>
        <w:t>IT: TPF BE.2021.16B del 7 settembre 2023</w:t>
      </w:r>
    </w:p>
    <w:p>
      <w:pPr>
        <w:pStyle w:val="Heading2"/>
      </w:pPr>
      <w:r>
        <w:t>Regeste</w:t>
      </w:r>
    </w:p>
    <w:p>
      <w:r>
        <w:t>Levée des scellés (art. 50 al. 3 DPA); tri des documents en format papier</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w:t>
      </w:r>
    </w:p>
    <w:p>
      <w:r>
        <w:t>- 5 -</w:t>
      </w:r>
    </w:p>
    <w:p>
      <w:r>
        <w:t>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w:t>
      </w:r>
    </w:p>
    <w:p>
      <w:r>
        <w:rPr>
          <w:b/>
        </w:rPr>
        <w:t>E. 1.4</w:t>
      </w:r>
    </w:p>
    <w:p>
      <w:r>
        <w:t>En l’espèce, en tant que détentrice des papiers mis sous scellés suite à la perquisition de ses locaux les 23, 24 septembre et 14 octobre 2021, A. SA est légitimée à s’opposer à la requête de l’AFC tendant à la levée des scellés.</w:t>
      </w:r>
    </w:p>
    <w:p>
      <w:r>
        <w:rPr>
          <w:b/>
        </w:rPr>
        <w:t>E. 1.5</w:t>
      </w:r>
    </w:p>
    <w:p>
      <w:r>
        <w:t>Compte tenu de ce qui précède, il convient d’entrer en matière.</w:t>
      </w:r>
    </w:p>
    <w:p>
      <w:r>
        <w:rPr>
          <w:b/>
        </w:rPr>
        <w:t>E. 2</w:t>
      </w:r>
    </w:p>
    <w:p>
      <w:r>
        <w:t>Les documents en format papier sous scellés objet du tri par la Cour de céans et de la présente décision sont répertoriés sous cotes EGE 157-220, EGE 674-702, ainsi que EMO 1-8 (act. 1.9, pièces n. 200.102.002 ss; act. 1.12, pièce n. 200.107.002; act. 20). Le 6 avril 2022, les parties ont été informées qu’il serait procédé au tri des documents en format papier répertoriés sous cotes EGE 157 à 161 et EMO 1 (v. supra Faits, let. J).</w:t>
      </w:r>
    </w:p>
    <w:p>
      <w:r>
        <w:rPr>
          <w:b/>
        </w:rPr>
        <w:t>E. 2.1</w:t>
      </w:r>
    </w:p>
    <w:p>
      <w:r>
        <w:t>L’AFC motive sa demande au moyen de divers éléments: la procédure de tri des données informatiques en cours, le temps écoulé depuis la saisine de la Cour de céans et le cours ininterrompu de la prescription (v. supra Faits, let. M).</w:t>
      </w:r>
    </w:p>
    <w:p>
      <w:r>
        <w:rPr>
          <w:b/>
        </w:rPr>
        <w:t>E. 2.2</w:t>
      </w:r>
    </w:p>
    <w:p>
      <w:r>
        <w:t>Dans ses observations du 25 avril 2022, auxquelles elle renvoie dans celles du 11 août 2023, l’opposante requiert le tri des données papier répertoriées sous cotes EGE 196, EGE 689-691, EGE 694, EGE 695, EGE 697, EGE 699, EGE 700 et EGE 702, dont l’inventaire suffit, selon elle, à rendre vraisemblable la présence d’un secret d’avocat, ainsi que EGE 162-166, EGE 170 et EGE 176, s’agissant de celle d’un secret d’affaires. De son point de vue, les pièces répertoriées sous cotes EGE 675, EGE 676, EGE 679- 681, EGE 683-688 font état de documents d’ordre exclusivement privé, comportant potentiellement des factures et des documents couverts par le secret médical, ainsi que des documents sans pertinence pour l’enquête. Les pièces sous cotes EGE 677, EGE 700, EMO 4, EMO 6, EMO 7, EMO 8</w:t>
      </w:r>
    </w:p>
    <w:p>
      <w:r>
        <w:t>- 6 -</w:t>
      </w:r>
    </w:p>
    <w:p>
      <w:r>
        <w:t>seraient également sans pertinence pour l’enquête en cours, du fait qu’elles concernent, en tout ou en partie, des années très éloignées des périodes 2011-2019 sous enquête (v. supra Faits, let. L). Le 20 janvier 2022, l’opposante mentionnait également les pièces sous cotes EMO 3, selon elle sans pertinence (v. supra Faits, let. E). Dans ses observations du 11 août 2023, l’opposante estime que le tri des documents papier se trouvera facilité par celui, en cours, des données informatiques et qu’il n’existe aucun intérêt légitimant le prononcé d’une décision partielle telle que requise par l’AFC (v. supra Faits, let. N).</w:t>
      </w:r>
    </w:p>
    <w:p>
      <w:r>
        <w:rPr>
          <w:b/>
        </w:rPr>
        <w:t>E. 2.3</w:t>
      </w:r>
    </w:p>
    <w:p>
      <w:r>
        <w:t>Afin de pouvoir se prononcer sur la pertinence des documents en format papier concernés, il s’agit, dans un premier temps, d’examiner si des soupçons suffisants de commission des infractions reprochées existent.</w:t>
      </w:r>
    </w:p>
    <w:p>
      <w:r>
        <w:rPr>
          <w:b/>
        </w:rPr>
        <w:t>E. 2.4</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2.4.1</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2.4.2</w:t>
      </w:r>
    </w:p>
    <w:p>
      <w:r>
        <w:t>La saisie de documents suppose que ceux-ci soient importants pour l’instruction de la cause (art. 50 al. 1 DPA). Cette règle ne doit pas être</w:t>
      </w:r>
    </w:p>
    <w:p>
      <w:r>
        <w:t>- 7 -</w:t>
      </w:r>
    </w:p>
    <w:p>
      <w:r>
        <w:t>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w:t>
      </w:r>
    </w:p>
    <w:p>
      <w:r>
        <w:rPr>
          <w:b/>
        </w:rPr>
        <w:t>E. 2.4.3.1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du 21 mars 2018 consid. 3.3; 1B_210/2017 du 23 octobre 2017 consid. 3.4).</w:t>
      </w:r>
    </w:p>
    <w:p>
      <w:r>
        <w:rPr>
          <w:b/>
        </w:rPr>
        <w:t>E. 2.4.3.2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1B_539/2019 précité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w:t>
      </w:r>
    </w:p>
    <w:p>
      <w:r>
        <w:t>- 8 -</w:t>
      </w:r>
    </w:p>
    <w:p>
      <w:r>
        <w:t>à rechercher d'office d'éventuels obstacles matériels à la perquisition (arrêts du Tribunal fédéral 1B_243/2020 du 26 février 2021 consid. 3.2; 1B_433/2017 précité consid. 4.14).</w:t>
      </w:r>
    </w:p>
    <w:p>
      <w:r>
        <w:rPr>
          <w:b/>
        </w:rPr>
        <w:t>E. 2.4.3.3</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2.4.4</w:t>
      </w:r>
    </w:p>
    <w:p>
      <w:r>
        <w:t>En l’espèce, l’AFC reproche à l’opposante des tentatives de soustraction d’impôt sur le bénéfice (art. 176 LIFD) pour les périodes fiscales 2011 à 2019, portant sur des montants importants, pour avoir inscrit, dans ses comptes, des charges non justifiées par l’usage commercial, correspondant à des redevances de licence de commercialisation d’un logiciel rétrocédées successivement par la société à des société proches, sises à l’étranger, alors qu’elle serait en réalité propriétaire légale du logiciel en question. À C. et B., tous deux administrateurs de l’opposante avec signature individuelle entre 2011 et 2019, l’AFC reproche, pour ces mêmes périodes fiscales, des délits d’usage de faux (art. 186 LIFD), pour avoir déposé ou fait déposer des comptes faux ou inexacts (bilans et comptes de résultat) à l’appui des déclarations fiscales de l’opposante dans le dessein de tromper l’autorité fiscale, ainsi qu’en qualité d’organe, d’avoir participé aux infractions commises par l’opposante (art. 177 LIFD en relation avec l’art. 176 LIFD). Les importantes redevances de licence non justifiées commercialement ainsi versées à la société D. SA, sise au Luxembourg, ont ensuite été, pour une part importante, reversées à la société E. BV, sise en Hollande, qui en a à son tour reversé la quasi-totalité à la société F. Ltd, sise aux Îles Vierges britanniques, où la fiscalité est nulle. Le mécanisme mis en place viserait à déplacer une part importante de bénéfices de l’opposante, dans un pays à fiscalité nulle et à en occulter les bénéficiaires finaux. La licence en question a été concédée, pour la Suisse, à l’opposante par D. SA, par contrat signé le 3 juillet 1989 par C. pour cette dernière, dont il était administrateur</w:t>
      </w:r>
    </w:p>
    <w:p>
      <w:r>
        <w:t>- 9 -</w:t>
      </w:r>
    </w:p>
    <w:p>
      <w:r>
        <w:t>délégué. Entre 2011 et 2019, l’opposante a versé à D. SA quelques CHF 133 millions de redevances pour cette licence. D. SA avait elle-même obtenu la licence, pour tous les Etats membres de la CEE et la Suisse, de E. BV, le 28 juin 1989, laquelle se l’était vue concéder par F. Ltd. F. Ltd l’avait obtenue de la société G. Ltd, sise aux Îles Vierges britanniques, pour GBP 1.--, le 8 novembre 1999, selon un contrat signé par deux collaborateurs d’une fiduciaire genevoise, mandatée par l’opposante. En outre, alors que le contrat signé par l’opposante avec D. SA délimite son droit de vendre des sous-licences du logiciel en Suisse et au Liechtenstein, une partie importante de son chiffre d’affaires en la matière proviendrait de nombreux pays étrangers. Des indices, parmi lesquels le nombre d’employés spécialisés et le niveau de leurs salaires, en comparaison avec ceux des employés de la société au Luxembourg, ainsi que la facturation à D. SA, tendent également à démontrer que l’opposante exercerait des fonctions de développement du logiciel et de maintien de sa valeur, faisant d’elle le propriétaire légal du logiciel. L’opposante ne recevrait aucune répercussion adéquate des coûts y liés de la part des sociétés étrangères qui exploitent également ce logiciel, lesquelles en versent à D. SA (act. 1). L’existence de soupçons suffisants de commission d’infractions fiscales est ainsi établie.</w:t>
      </w:r>
    </w:p>
    <w:p>
      <w:r>
        <w:rPr>
          <w:b/>
        </w:rPr>
        <w:t>E. 2.4.5</w:t>
      </w:r>
    </w:p>
    <w:p>
      <w:r>
        <w:t>La condition de l’utilité potentielle de la documentation en format papier apparaît également réalisée en l’espèce. Il ressort, ainsi, des procès-verbaux d’objets sous scellés des 23 septembre et 14 octobre 2021 que les documents en format papier répertoriés sous cotes EGE 157-220, EGE 674- 702 et EMO 1-8, soit ceux concernés par la demande de levée de scellés peuvent présenter, à ce stade, un intérêt manifeste pour l’enquête menée par l’AFC. Il s’agit, pour les pièces précitées répertoriées sous cote EGE, des données de l’opposante, prévenue dans la procédure, pour les années 2011-2019, soit celles de la période sous enquête. Elles sont, en particulier, de nature à permettre d’établir l’activité de l’opposante et des autres sociétés donneuses de licence, dont D. SA, s’agissant, notamment, de l’exercice de fonctions de développement du logiciel concerné et de maintien de sa valeur, ainsi que le pouvoir décisionnel et de contrôle de l’opposante, en matière d’exploitation et d’utilisation du logiciel, ainsi que les relations entre l’opposante et ces autres sociétés. Le but d’une telle analyse fonctionnelle est de déterminer si l’opposante est propriétaire réelle du logiciel et si les redevances de licence de commercialisation du logiciel rétrocédées, correspondant à 25% de son chiffre d’affaires, sont justifiées. Comme le précise l’AFC, c’est toute l’activité en lien avec le logiciel en question qui doit être examinée, de sorte que toutes les données de l’opposante, dont l’unique activité est liée audit logiciel, sont susceptibles d’être pertinentes pour l’enquête (act. 1, p. 18). Il en va de même des pièces répertoriées sous cote EMO, dans la mesure où elles concernent les différentes sociétés participant</w:t>
      </w:r>
    </w:p>
    <w:p>
      <w:r>
        <w:t>- 10 -</w:t>
      </w:r>
    </w:p>
    <w:p>
      <w:r>
        <w:t>au système de transfert des redevances de licence et cession de droits de licence et une période durant laquelle des contrats de sous-licence y relatifs étaient déjà conclus entre plusieurs d’entre elles (act. 1, p. 6 ss). La pertinence des données est ainsi établie. L’opposante ne fait valoir aucun motif de nature à contredire cette appréciation. Quant au fait que certaines pièces ne concerneraient que pour partie la période sous enquête, ainsi que cela a été vu précédemment, il est inévitable que la perquisition visant des papiers porte également sur des documents et/ou données qui ne présentent aucun intérêt pour l’enquête. S’il s’avère, après analyse de la documentation que tel est le cas, ces pièces devront être restituées à l’opposant par l’AFC.</w:t>
      </w:r>
    </w:p>
    <w:p>
      <w:r>
        <w:rPr>
          <w:b/>
        </w:rPr>
        <w:t>E. 2.5</w:t>
      </w:r>
    </w:p>
    <w:p>
      <w:r>
        <w:t>L’opposante se prévaut, dans les pièces dont elle établit la liste (v. supra consid. 2.2), de la présence de secrets d’avocat, d’affaires et médical, en application de l’art. 50 al. 1 DPA.</w:t>
      </w:r>
    </w:p>
    <w:p>
      <w:r>
        <w:rPr>
          <w:b/>
        </w:rPr>
        <w:t>E. 2.5.1</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rPr>
          <w:b/>
        </w:rPr>
        <w:t>E. 2.5.2</w:t>
      </w:r>
    </w:p>
    <w:p>
      <w:r>
        <w:t>À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v. art. 248 al. 1 et 3 CPP; ATF 144 IV 74 consid. 2.2 p. 77; 141 IV 77 précité consid. 4.1; arrêts du Tribunal fédéral 1B_487/2018 précité consid. 2.2; 1B_433/2017 du 21 mars 2018 consid. 3.3; 1B_210/2017 du 23 octobre 2017 consid. 3.4). 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Il incombe à celui ayant requis la mise sous scellés de démontrer, de manière suffisante, l’existence du secret professionnel dont il se prévaut, les exigences en matière de motivation et de collaboration à cet égard n'étant</w:t>
      </w:r>
    </w:p>
    <w:p>
      <w:r>
        <w:t>- 11 -</w:t>
      </w:r>
    </w:p>
    <w:p>
      <w:r>
        <w:t>pas moindres ou différentes de celles qui prévalent, notamment, lorsque le défaut de pertinence est invoqué (ATF 145 IV 273 consid. 3.2 et références citées; v. supra consid. 2.4.3.2 et 2.4.3.3).</w:t>
      </w:r>
    </w:p>
    <w:p>
      <w:r>
        <w:rPr>
          <w:b/>
        </w:rPr>
        <w:t>E. 2.6</w:t>
      </w:r>
    </w:p>
    <w:p>
      <w:r>
        <w:t>Le secret d’affaires ne bénéficie pas de la même protection que ceux de l’art. 50 al. 2 DPA (v. arrêt du Tribunal fédéral 1B_279/2021 du 4 février 2022 consid. 3.2.2). L’opposante ne rend toutefois vraisemblable ni la présence d’un tel secret, ni que l’intérêt à son maintien l’emporterait sur celui à la manifestation de la vérité. Les scellés ne sauraient ainsi être maintenus sur les pièces EGE 162 à 166, EGE 176 et EGE 170.</w:t>
      </w:r>
    </w:p>
    <w:p>
      <w:r>
        <w:rPr>
          <w:b/>
        </w:rPr>
        <w:t>E. 2.7</w:t>
      </w:r>
    </w:p>
    <w:p>
      <w:r>
        <w:t>Les autres pièces objet de la liste dressée par l’opposante, pour lesquelles elle fait valoir la présence de secrets d’avocats et médical, feront l’objet d’un examen ultérieur.</w:t>
      </w:r>
    </w:p>
    <w:p>
      <w:r>
        <w:rPr>
          <w:b/>
        </w:rPr>
        <w:t>E. 2.8</w:t>
      </w:r>
    </w:p>
    <w:p>
      <w:r>
        <w:t>Au surplus, les scellés apposés sur les autres documents en format papier peuvent être levés. Il en va de même des pièces dont l’opposante estime qu’elles contiennent uniquement, en tout ou en partie, des pièces non pertinentes (v. supra consid. 2.2, 2.4.3.3 et 2.4.5 in fine).</w:t>
      </w:r>
    </w:p>
    <w:p>
      <w:r>
        <w:rPr>
          <w:b/>
        </w:rPr>
        <w:t>E. 3.1</w:t>
      </w:r>
    </w:p>
    <w:p>
      <w:r>
        <w:t>Au vu de ce qui précède, la demande de levée de scellés est admise sur les pièces répertoriées sous cotes EGE 162-195, EGE 197-220, EGE 674, EGE 677, EGE 678, EGE 682, EGE 692, EGE 693, EGE 696, EGE 698, EGE 701, ainsi que celles répertoriées cous cotes EMO 2 à 8.</w:t>
      </w:r>
    </w:p>
    <w:p>
      <w:r>
        <w:rPr>
          <w:b/>
        </w:rPr>
        <w:t>E. 3.2</w:t>
      </w:r>
    </w:p>
    <w:p>
      <w:r>
        <w:t>Les scellés sont maintenus sur les pièces EGE 196, EGE 675, EGE 676, EGE 679-681, EGE 683-691, EGE 694, EGE 695, EGE 697, EGE 699, EGE 700 et EGE 702, lesquelles feront l’objet d’une décision séparée, comme celles répertoriées sous cotes EGE 157-161 et EMO 1.</w:t>
      </w:r>
    </w:p>
    <w:p>
      <w:r>
        <w:rPr>
          <w:b/>
        </w:rPr>
        <w:t>E. 4</w:t>
      </w:r>
    </w:p>
    <w:p>
      <w:r>
        <w:t>Les frais de la cause sont joints au fond.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