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BE.2021.15B vom 12. Januar 2023</w:t>
      </w:r>
    </w:p>
    <w:p>
      <w:r>
        <w:t>Bundesstrafgericht, 2023-01-12, FR</w:t>
      </w:r>
    </w:p>
    <w:p>
      <w:r>
        <w:rPr>
          <w:b/>
        </w:rPr>
        <w:t xml:space="preserve">Quelle: </w:t>
      </w:r>
      <w:r>
        <w:t>https://mcp.opencaselaw.ch/entscheid/bstger_BE.2021.15B</w:t>
      </w:r>
    </w:p>
    <w:p>
      <w:r>
        <w:t>FR: TPF BE.2021.15B du 12 janvier 2023</w:t>
      </w:r>
    </w:p>
    <w:p>
      <w:r>
        <w:t>IT: TPF BE.2021.15B del 12 gennaio 2023</w:t>
      </w:r>
    </w:p>
    <w:p>
      <w:pPr>
        <w:pStyle w:val="Heading2"/>
      </w:pPr>
      <w:r>
        <w:t>Regeste</w:t>
      </w:r>
    </w:p>
    <w:p>
      <w:r>
        <w:t>Levée de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t>- 5 -</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1.4</w:t>
      </w:r>
    </w:p>
    <w:p>
      <w:r>
        <w:t>Détenteur des pièces mises sous scellés suite à la perquisition de sa résidence suisse (v. supra Faits, let. B), l’opposant est légitimé à s’opposer à la requête de l’AFC tendant à la levée des scellés. Il en va de même de l’opposante, admise comme telle par la décision de la Cour de céans du</w:t>
      </w:r>
    </w:p>
    <w:p>
      <w:r>
        <w:rPr>
          <w:b/>
        </w:rPr>
        <w:t>E. 1.5</w:t>
      </w:r>
    </w:p>
    <w:p>
      <w:r>
        <w:t>Compte tenu de ce qui précède, il convient d’entrer en matière.</w:t>
      </w:r>
    </w:p>
    <w:p>
      <w:r>
        <w:t>2.</w:t>
      </w:r>
    </w:p>
    <w:p>
      <w:r>
        <w:t>2.1 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 2.1.1 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w:t>
      </w:r>
    </w:p>
    <w:p>
      <w:r>
        <w:t>- 6 -</w:t>
      </w:r>
    </w:p>
    <w:p>
      <w:r>
        <w:t>pèse sur l’accusé et vérifier le respect du principe de la proportionnalité (arrêts du Tribunal fédéral 1B_671/2012 précité consid. 3.8.1; 8G.116/2003 du 26 janvier 2004 consid. 5). 2.1.2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 2.1.3 2.1.3.1 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 consid. 3.4). 2.1.3.2 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w:t>
      </w:r>
    </w:p>
    <w:p>
      <w:r>
        <w:t>- 7 -</w:t>
      </w:r>
    </w:p>
    <w:p>
      <w:r>
        <w:t>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 2.1.3.3 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la démonstration d’un rapport de connexité concret entre l’infraction ciblée et l’objet de la perquisition (v. ATF 130 II 193 consid. 4.3, p. 197).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 2.1.4 En l’espèce, l’AFC reproche à l’opposante des tentatives de soustraction d’impôt sur le bénéfice (art. 176 LIFD) pour les périodes fiscales 2011 à 2019, portant sur des montants importants, pour avoir inscrit, dans ses comptes, des charges non justifiées par l’usage commercial, correspondant à des redevances de licence de commercialisation du logiciel D. rétrocédées successivement par la société à des société proches, sises à l’étranger, alors qu’elle serait en réalité propriétaire légale du logiciel en question. À l’opposant et C., tous deux administrateurs de l’opposante avec signature individuelle entre 2011 et 2019, l’AFC reproche, pour ces mêmes périodes fiscales, des délits d’usage de faux (art. 186 LIFD), pour avoir déposé ou fait déposer des comptes faux ou inexacts (bilans et comptes de résultat) à l’appui des déclarations fiscales de l’opposante dans le dessein de tromper l’autorité fiscale, ainsi qu’en qualité d’organe, d’avoir participé aux infractions commises par l’opposante (art. 177 LIFD en relation avec l’art. 176 LIFD). Les importantes redevances de licence non justifiées commercialement ainsi versées à la société E. SA, sise au Luxembourg, ont ensuite été, pour une part importante, reversées à la société F. BV, sise en Hollande, qui en a à</w:t>
      </w:r>
    </w:p>
    <w:p>
      <w:r>
        <w:t>- 8 -</w:t>
      </w:r>
    </w:p>
    <w:p>
      <w:r>
        <w:t>son tour reversé la quasi-totalité à la société G. Ltd, sise aux Îles Vierges britanniques, où la fiscalité est nulle. Le mécanisme mis en place viserait à déplacer une part importante de bénéfices de l’opposante, dans un pays à fiscalité nulle et à en occulter les bénéficiaires finaux. La licence en question a été concédée, pour la Suisse, à l’opposante par E. SA, par contrat signé le 3 juillet 1989 par l’opposant pour cette dernière, dont il était administrateur délégué. Entre 2011 et 2019, l’opposante a versé à E. SA quelques CHF 133 millions de redevances pour cette licence. E. SA avait elle-même obtenu la licence, pour tous les Etats membres de la CEE et la Suisse, de F. BV, le 28 juin 1989, laquelle se l’était vue concéder par G. Ltd. G. Ltd l’avait obtenue de la société H. Ltd, sise aux Îles Vierges britanniques, pour GBP 1.--, le 8 novembre 1999, selon un contrat signé par deux collaborateurs d’une fiduciaire genevoise, mandatée par l’opposante. En outre, alors que le contrat signé par l’opposante avec E. SA délimite son droit de vendre des sous-licences du logiciel en Suisse et au Liechtenstein, une partie importante de son chiffre d’affaires en la matière proviendrait de nombreux pays étrangers. Des indices, parmi lesquels le nombre d’employés spécialisés et le niveau de leurs salaires, en comparaison avec ceux des employés de la société au Luxembourg, ainsi que la facturation à E. SA, tendent également à démontrer que l’opposante exercerait des fonctions de développement du logiciel et de maintien de sa valeur, faisant d’elle le propriétaire légal du logiciel. L’opposante ne recevrait aucune répercussion adéquate des coûts y liés de la part des sociétés étrangères qui exploitent également ce logiciel, lesquelles en versent à E. SA (act. 1). L’existence de soupçons suffisants de commission d’infractions fiscales est ainsi établie. Les opposants ne le contestent d’ailleurs pas (act. 6.1, p. 2). 2.1.5 La condition de l’utilité potentielle des données informatiques apparaît également réalisée en l’espèce. Il ressort, ainsi, du procès-verbal d’objets sous scellés du 23 septembre 2021 que les pièces référencées sous cotes YAC 001, YAC 002 et YAC 003 concernées par la demande de levée de scellés peuvent présenter, à ce stade, un intérêt manifeste pour l’enquête menée par l’AFC, en tant qu’il s’agit essentiellement de données de l’opposante, prévenue dans la procédure, durant la période sous enquête. La fourre répertoriée sous cote YAC 001 contient « une demande de I. contre B. SA (CH) 2016 concernant une procédure devant les Prud’Hommes » (act. 1.8, p. 2). I. a été directeur de l’opposante, jusqu’en 2016, soit durant la période visée par l’enquête de l’AFC (act. 55; fosc.ch, n. de publication 2867221). Le classeur référencé sous cote YAC 002 contient « divers documents au sujet de B. SA: informations sur la structure, la propriété intellectuelle et les royalties »; quant à la fourre en carton référencée sous cote YAC 003, elle contient « des documents sur l’organigramme de B. SA, compte n. 1 et sur J. Ltd » (act. 1.8, p. 2). Cette dernière société est une</w:t>
      </w:r>
    </w:p>
    <w:p>
      <w:r>
        <w:t>- 9 -</w:t>
      </w:r>
    </w:p>
    <w:p>
      <w:r>
        <w:t>société-fille de K. SA, qui détient l’opposante (act. 1, p. 9, 18 et 19). Ces pièces sont, en particulier, de nature à permettre d’établir l’activité de l’opposante, s’agissant, notamment, de l’exercice de fonctions de développement du logiciel concerné et de maintien de sa valeur, ainsi que le pouvoir décisionnel et de contrôle de l’opposante, en matière d’exploitation et d’utilisation du logiciel. Le but d’une telle analyse fonctionnelle est de déterminer si l’opposante est propriétaire réelle du logiciel et si les redevances de licence de commercialisation du logiciel rétrocédées, correspondant à 25% de son chiffre d’affaires, sont justifiées. Partant, la pertinence des données, s’agissant tant de la période (2011-2019) que des personnes concernées, vu l’objet de la procédure, est ainsi établie. Les opposants, qui précisent eux-mêmes que les documents en question sont ceux de la société B. SA, ne font valoir aucun motif de nature à contredire cette appréciation (act. 6.1, p. 3). Ainsi que cela a été vu précédemment, il est inévitable que la perquisition visant des papiers porte également sur des documents et/ou données qui ne présentent aucun intérêt pour l’enquête. S’il s’avère, après analyse de la documentation que tel est le cas, ces pièces devront être restituées aux opposants par l’AFC.</w:t>
      </w:r>
    </w:p>
    <w:p>
      <w:r>
        <w:t>3. Les opposants estiment que c’est à juste titre que les scellés ont été apposés sur les pièces répertoriées sous cotes YAC 001, YAC 002 et YAC 003, en tant qu’ils seraient susceptibles, comme l’indiquerait le libellé de l’inventaire des pièces, de contenir des documents d’avocats protégés par un secret professionnel (act. 6.1, p. 10-11). S’agissant de la première pièce (YAC 001), les opposants font valoir qu’elle contient des actes de procédure devant le Tribunal des Prud’hommes dans le cadre d’un litige entre la société B. SA et un ancien employé. De leur point de vue, la rédaction d’écritures juridiques entrerait pleinement dans le champ de l’activité typique d’avocat. Les écritures juridiques et les pièces déposées dans une procédure judiciaire s’inscriraient, par définition, dans le cadre d’un mandat professionnel de représentation et seraient ainsi couvertes par le secret professionnel de l’avocat. Ce serait en particulier le cas des mémoires en justice (act. 6.1, p. 18). S’agissant des documents contenus dans le classeur sous cote YAC 002, la seule mention de la présence de documents sur la propriété intellectuelle rendrait suffisamment vraisemblable que des échanges avec des avocats s’y trouvent également. En effet, la question de la marque et du nom du logiciel D. aurait fait l’objet de nombreux échanges avec des avocats, tant suisses que luxembourgeois, ainsi que cela aurait été vu dans la cause parallèle BE.2021.16 (act. 32, p. 3). Une fois en possession de copies des documents contenus dans la pièce répertoriée sous cote YAC 001, les opposants ont ajouté que cette pièce contenait, comme son libellé l’indique, un dossier reçu par la société B. SA du Tribunal des Prud’hommes de</w:t>
      </w:r>
    </w:p>
    <w:p>
      <w:r>
        <w:t>- 10 -</w:t>
      </w:r>
    </w:p>
    <w:p>
      <w:r>
        <w:t>Genève, dans la perspective d’une audience de conciliation, lequel contenait la demande en justice de I., représenté par son défenseur, et les pièces y relatives. Parmi ces pièces figureraient des documents confidentiels subtilisés par le précité à l’opposante, qui avaient été transmis à un concurrent. I. aurait été reconnu coupable de violation du secret commercial à raison de ces faits. Plusieurs de ces documents en seraient la preuve. La pièce en question (YAC 001) contiendrait ainsi des secrets dignes de protection qui auraient été violés sans le consentement de B. SA (act. 55). 3.1</w:t>
      </w:r>
    </w:p>
    <w:p>
      <w:r>
        <w:t>3.1.1 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 3.1.2 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v. art. 248 al. 1 et 3 CPP; ATF 144 IV 74 consid. 2.2 p. 77; 141 IV 77 précité consid. 4.1; arrêts du Tribunal fédéral 1B_487/2018 précité consid. 2.2; 1B_433/2017 du 21 mars 2018 consid. 3.3; 1B_210/2017 du 23 octobre 2017 consid. 3.4).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v. supra consid. 2.1.3.2 et 2.1.3.3). 3.1.3 D’une manière générale, le secret de l’avocat ne couvre que son activité</w:t>
      </w:r>
    </w:p>
    <w:p>
      <w:r>
        <w:t>- 11 -</w:t>
      </w:r>
    </w:p>
    <w:p>
      <w:r>
        <w:t>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p. 388; 143 IV 462 consid. 2.2 p. 467; arrêt 1B_264/2018 du 28 septembre 2018 consid. 2.1 et les nombreux arrêts cités). Sont ainsi protégés les faits et documents qui présentent un rapport certain avec l’exercice de la profession d’avocat, rapport qui peut être fort ténu (ATF 143 IV 462 consid. 2.2; v. art. 321 du Code pénal suisse du 21 décembre 1937 [CP; RS 311.0]). L’activité professionnelle spécifique de l'avocat – et dès lors celle protégée par le secret professionnel au sens de la DPA – consiste donc, entre autres, à fournir des conseils juridiques, à rédiger des projets d’actes juridiques, à défendre les intérêts de ses clients et à intervenir auprès des autorités administratives ou judiciaires afin de les assister ou les représenter (ATF 147 IV 385 consid. 2.2 p. 388; 143 IV 462 consid. 2.2 p. 467; 135 III 410 consid. 3.3 p. 414 et références citées).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ces documents, la correspondance classique (lettres et courriers électroniques), les notes prises par l’avocat, les expertises juridiques faites avant une procédure, les procès-verbaux d’entretien, les documents stratégiques ou encore les projets de contrat ou d’arrangement (Message du Conseil fédéral concernant la loi fédérale sur l’adaptation de dispositions de procédure relatives au secret professionnel des avocats du 26 octobre 2011, FF 2011 7509, 7512; arrêt du Tribunal fédéral 1B_158/2019 du 25 juillet 2019 consid. 2.3; décisions du Tribunal pénal fédéral BV.2018.29 du 26 février 2019 consid. 2.2; BV.2016.21 du 12 décembre 2016 consid. 3.1 et références citées). S’agissant du secret professionnel de l’avocat, les exigences en matière de motivation et de collaboration ne sont pas différentes ou moindres que lorsque celui qui requiert le maintien des scellés se prévaut d’un autre motif. Celui qui l’invoque doit donc démontrer que le mandataire en cause a été consulté dans le cadre d’une activité professionnelle typique (arrêt du Tribunal fédéral 1B_539/2019 précité consid. 3.2.3 et référence citée). 3.2 En l’espèce, les documents contenus dans la pièce YAC 001 consistent en un mémoire d’avocat – de I. – et ses annexes, produits devant le Tribunal des Prud’hommes et remis par ce dernier à l’opposante. Dès l’instant où de</w:t>
      </w:r>
    </w:p>
    <w:p>
      <w:r>
        <w:t>- 12 -</w:t>
      </w:r>
    </w:p>
    <w:p>
      <w:r>
        <w:t>tels actes d’un avocat, qui relèvent de son activité typique, sont produits devant une autorité judiciaire, ils sortent de la sphère de protection existant entre l’avocat et son client, de sorte qu’ils ne sauraient en principe plus être couverts par le secret de l’avocat. Dans leurs déterminations du 8 septembre 2022, après consultation des pièces, les opposants n’allèguent d’ailleurs plus l’existence d’un secret d’avocat. 3.3 Ils allèguent, en revanche, que cette même pièce (YAC 001) contiendrait des secrets dignes de protection de B. SA, en l’occurrence des secrets commerciaux ou d’affaires. De tels secrets ne bénéficient pas de la même protection que ceux de l’art. 50 al. 2 DPA (v. arrêt du Tribunal fédéral 1B_279/2021 du 4 février 2022 consid. 3.2.2). Les opposants ne rendent toutefois vraisemblable ni la présence de tels secrets, ni que l’intérêt au maintien de ceux-ci l’emporterait sur celui à la manifestation de la vérité. Les scellés ne sauraient ainsi être maintenus sur les pièces en question. 3.4 Les opposants ne sauraient non plus être suivis dans leur argumentation relative aux documents contenus dans la pièce répertoriée sous cote YAC 002, dont le libellé exact au procès-verbal est « divers documents au sujet de B. SA: informations sur la structure, la propriété intellectuelle et les royalties ». La seule mention des termes de propriété intellectuelle ou, plus précisément, informations sur la propriété intellectuelle dans le procès-verbal relatif à la perquisition du 23 septembre 2021 ne suffit pas à rendre vraisemblable l’existence de documents couverts par le secret d’avocat, quand bien même l’activité que peut déployer un avocat dans ce domaine entre dans le cadre de son activité spécifique et/ou que le dépôt de la marque et du nom du logiciel D. ait donné lieu à de nombreux échanges avec des avocats. En l’espèce, rien n’indique, et les opposants ne rendent pas vraisemblable, que les informations en question contenues dans la pièce YAC 002 concerneraient l’enregistrement dudit logiciel ou qu’il en aille de documents d’avocats. Quant à la référence à la procédure BE.2021.16, le tri de la pièce à laquelle les opposants se réfèrent a été décidé en premier lieu du fait que l’inventaire faisait état de la présence de documents d’avocats, non en raison du domaine concerné ou de l’enregistrement du logiciel D. (v. ordonnance du Tribunal pénal fédéral BP.2022.19 du 6 avril 2022).</w:t>
      </w:r>
    </w:p>
    <w:p>
      <w:r>
        <w:t>3.5 Quant à la pièce répertoriée sous cote YAC 003, les opposants ne développent aucun argument relatif à l’éventuelle présence d’un secret protégé, en l’occurrence d’avocat, comme l’exige leur devoir de collaboration (v. supra consid. 3.1.2 et 3.1.3 in fine). Cela scelle le sort du grief.</w:t>
      </w:r>
    </w:p>
    <w:p>
      <w:r>
        <w:t>4. Partant, la demande de levée de scellés portant sur les pièces répertoriées sous cotes YAC 001, YAC 002 et YAC 003 est admise. A l’entrée en force</w:t>
      </w:r>
    </w:p>
    <w:p>
      <w:r>
        <w:t>- 13 -</w:t>
      </w:r>
    </w:p>
    <w:p>
      <w:r>
        <w:t>de la présente décision, lesdites pièces seront transmises à l’AFC.</w:t>
      </w:r>
    </w:p>
    <w:p>
      <w:r>
        <w:t>5. La demande de levée de scellés portant sur les pièces répertoriées sous cote YAC 004 fera l’objet d’une décision distincte.</w:t>
      </w:r>
    </w:p>
    <w:p>
      <w:r>
        <w:rPr>
          <w:b/>
        </w:rPr>
        <w:t>E. 6</w:t>
      </w:r>
    </w:p>
    <w:p>
      <w:r>
        <w:t>Les frais de la cause sont joints au fond.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