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BE.2021.12 vom 26. Oktober 2022</w:t>
      </w:r>
    </w:p>
    <w:p>
      <w:r>
        <w:t>Bundesstrafgericht, 2022-10-26, DE</w:t>
      </w:r>
    </w:p>
    <w:p>
      <w:r>
        <w:rPr>
          <w:b/>
        </w:rPr>
        <w:t xml:space="preserve">Quelle: </w:t>
      </w:r>
      <w:r>
        <w:t>https://mcp.opencaselaw.ch/entscheid/bstger_BE.2021.12</w:t>
      </w:r>
    </w:p>
    <w:p>
      <w:r>
        <w:t>FR: TPF BE.2021.12 du 26 octobre 2022</w:t>
      </w:r>
    </w:p>
    <w:p>
      <w:r>
        <w:t>IT: TPF BE.2021.12 del 26 ottobre 2022</w:t>
      </w:r>
    </w:p>
    <w:p>
      <w:pPr>
        <w:pStyle w:val="Heading2"/>
      </w:pPr>
      <w:r>
        <w:t>Regeste</w:t>
      </w:r>
    </w:p>
    <w:p>
      <w:r>
        <w:t>Entsiegelung (Art. 50 Abs. 3 VStrR)</w:t>
      </w:r>
    </w:p>
    <w:p>
      <w:pPr>
        <w:pStyle w:val="Heading2"/>
      </w:pPr>
      <w:r>
        <w:t>Erwägungen</w:t>
      </w:r>
    </w:p>
    <w:p>
      <w:r>
        <w:rPr>
          <w:b/>
        </w:rPr>
        <w:t>E. 1.1</w:t>
      </w:r>
    </w:p>
    <w:p>
      <w:r>
        <w:t>Am 1. Januar 2019 ist das Geldspielgesetz in Kraft getreten. Nach Art. 134 Abs. 1 BGS ist bei Widerhandlungen im Zusammenhang mit Spielbanken- spielen das Bundesgesetz vom 22. März 1974 über das Verwaltungsstraf- recht (VStrR; SR 313.0)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TPF 2017 107 E. 1.2 und E. 1.3; TPF 2016 55 E. 2.3).</w:t>
      </w:r>
    </w:p>
    <w:p>
      <w:r>
        <w:rPr>
          <w:b/>
        </w:rPr>
        <w:t>E. 2</w:t>
      </w:r>
    </w:p>
    <w:p>
      <w:r>
        <w:t>Die Eintretensvoraussetzungen sind vorliegend erfüllt und geben zu keinen Bemerkungen Anlass (vgl. dazu zuletzt u.a. Beschluss des Bundesstrafge- richts BE.2022.9 vom 8. Juni 2022 E. 2). Auf das Gesuch ist einzutreten.</w:t>
      </w:r>
    </w:p>
    <w:p>
      <w:r>
        <w:t>- 4 -</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er unter einen oder allenfalls auch alternativ unter mehrere Tatbestände des Strafrechts überhaupt nachvollziehbar sub- sumiert werden kann. Zweitens müssen ausreichende Beweismittel oder In- dizien angegeben und vorgelegt werden, die diesen Sachverhalt stützen. In Abgrenzung zum dringenden setzt dabei der hinreichende Tatverdacht ge- rade nicht voraus, dass Beweise oder Indizien bereits für eine erhebliche oder hohe Wahrscheinlichkeit einer Verurteilung sprechen (vgl. zum Ganzen bereits ausführlich den Entscheid des Bundesstrafgerichts BE.2006.7 vom 20. Februar 2007 E. 3.1 m.w.H.; die dort angeführten Überlegungen in Bezug auf das ordentliche Strafverfahren gelten gleichermassen auch für das Ver- waltungsstrafverfahren, gibt es doch diesbezüglich keinen sachlichen Grund für eine unterschiedliche Rechtsanwendung; vgl. u.a. den Beschluss des Bundesstrafgerichts BE.2018.7 vom 22. November 2018 E. 4.1).</w:t>
      </w:r>
    </w:p>
    <w:p>
      <w:r>
        <w:rPr>
          <w:b/>
        </w:rPr>
        <w:t>E. 4.2</w:t>
      </w:r>
    </w:p>
    <w:p>
      <w:r>
        <w:t>Gemäss Art. 130 Abs. 1 lit. a BGS wird mit bis zu drei Jahren Freiheitsstrafe oder mit Geldstrafe bestraft, wer vorsätzlich ohne die dafür nötigen Konzes- sionen oder Bewilligungen Spielbankenspiele durchführt, organisiert oder zur Verfügung stellt. Spielbankenspiele sind Geldspiele, die einer eng be- grenzten Anzahl Personen offenstehen; ausgenommen sind die Sportwet- ten, die Geschicklichkeitsspiele und die Kleinspiele (Art. 3 lit. g BGS).</w:t>
      </w:r>
    </w:p>
    <w:p>
      <w:r>
        <w:t>- 5 -</w:t>
      </w:r>
    </w:p>
    <w:p>
      <w:r>
        <w:rPr>
          <w:b/>
        </w:rPr>
        <w:t>E. 4.3</w:t>
      </w:r>
    </w:p>
    <w:p>
      <w:r>
        <w:t>Gemäss Rapport der Kantonspolizei Zürich vom 29. Januar 2020 wurden am 21. November 2019 anlässlich der Gastgewerbekontrolle in den Räumlich- keiten der B. GmbH in Z., diverse Personen beim Pokerspielen angetroffen (act. 1.5). Dem Nachtrag der Kantonspolizei Zürich vom 14. März 2020 liegt ein Betriebskonzept der B. GmbH bei. Demnach bezweckt die B. GmbH die Vermietung und Bewirtschaftung von Immobilien für Vereine und zur Durch- führung von verschiedenen Freizeitaktivitäten. Am Standort in Z. stellt die B. GmbH namentlich dem Verein C. die Infrastruktur zur Verfügung. Anläss- lich seiner Einvernahme vom 5. März 2020 durch die Kantonspolizei Zürich gab A. an, er sei Geschäftsführer der B. GmbH. Es treffe zu, dass im Lokal resp. im Verein C., in dem er Mitglied sei, Poker gespielt werde (act. 1.6). Gemäss Bericht der Kantonspolizei Zürich vom 11. Mai 2021 fiel im Zuge von Ermittlungen im Spezialgewerbe die Publikation des mutmasslich wieder aufgenommenen Betriebs des Vereins C., welcher innerhalb der Bar B. GmbH domiziliert sei, auf. Einer polizeilichen Beobachtung vom 21. April 2021 sowie 23. April 2021 zufolge sei tatsächlich von zumindest nächt- lichem, regem Betrieb auszugehen (act. 1.7). Dem Bericht zur Hausdurch- suchung vom 26. Juni 2021 (act. 1.9) lässt sich u.a. entnehmen, dass einige der anwesenden Personen hohe Bargeldbeträge mitführten (Gesuchs- gegner: Fr. 280.--; D.: Fr. 2'620.--; E.: Fr. 4'530.--; F.: Fr. 3'010.--; G.: Fr. 4'000.--; H.: Fr. 3'980.--).</w:t>
      </w:r>
    </w:p>
    <w:p>
      <w:r>
        <w:t>Damit liegen ohne Weiteres genügend konkrete Anhaltspunkte für eine Straf- tat (Art. 130 Abs. 1 lit. a BGS) und eine Beteiligung des Gesuchsgegners an dieser Tat vor. Der vom Gesuchsgegner geltend gemachte Umstand, dass er einzig und allein für die Gastwirtschaft verantwortlich gewesen sein, ver- mag den Tatverdacht vorliegend nicht entscheidend zu entkräften. Wie es sich im Übrigen mit der vom Gesuchsgegner aufgeworfenen Frage nach der Verwertbarkeit der Aussagen der anwesenden Spieler verhält, kann – da auch ohne sie ein hinreichender Tatverdacht zu bejahen ist – offengelassen werden.</w:t>
      </w:r>
    </w:p>
    <w:p>
      <w:r>
        <w:rPr>
          <w:b/>
        </w:rPr>
        <w:t>E. 5.1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w:t>
      </w:r>
    </w:p>
    <w:p>
      <w:r>
        <w:t>- 6 -</w:t>
      </w:r>
    </w:p>
    <w:p>
      <w:r>
        <w:t>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5.2</w:t>
      </w:r>
    </w:p>
    <w:p>
      <w:r>
        <w:t>Angesichts der bisherigen Ermittlungsergebnisse besteht der Verdacht, dass der Gesuchsgegner an der Durchführung, Organisation oder Zurverfügung- stellung von Spielbankenspielen ohne die dafür nötigen Konzessionen oder Bewilligungen beteiligt sein könnte. Die in den Mobiltelefonen und dem Lap- top des Gesuchsgegners befindlichen Informationen (Kontakte, Unterhaltun- gen etc.) könnten Aufschluss über Einsätze, Gewinne, Anzahl der Spieler, Häufigkeit der Spiele, Rolle des Gesuchsgegners und allfällige Mittäter ge- ben. Der Gesuchsgegner hat sich dazu nicht geäussert. Seiner prozessualen Obliegenheit ist er damit eindeutig nicht nachgekommen. Einer Durchsu- chung der sichergestellten Daten steht vor diesem Hintergrund nichts im Weg.</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6.2</w:t>
      </w:r>
    </w:p>
    <w:p>
      <w:r>
        <w:t>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 nisse glaubhaft zu machen, die seiner Ansicht nach dem öffentlichen Inte-</w:t>
      </w:r>
    </w:p>
    <w:p>
      <w:r>
        <w:t>- 7 -</w:t>
      </w:r>
    </w:p>
    <w:p>
      <w:r>
        <w:t>resse an der Aufklärung und Verfolgung von mutmasslichen Straftaten vor- gehen (Urteil des Bundesgerichts 1B_671/2012 vom 8. Mai 2013 E. 3.6.1 m.w.H.).</w:t>
      </w:r>
    </w:p>
    <w:p>
      <w:r>
        <w:rPr>
          <w:b/>
        </w:rPr>
        <w:t>E. 6.3</w:t>
      </w:r>
    </w:p>
    <w:p>
      <w:r>
        <w:t>Der Gesuchsgegner hat die Siegelung verlangt, ohne ein Berufs-, Privat- oder Geschäftsgeheimnis geltend zu machen. In der Gesuchsduplik führt er aus, dass auf seinen Gegenständen besonders schützenswerte und persön- liche Daten sowie insbesondere auch zu wahrende Geschäftsgeheimnisse sein dürften. Auch in diesem Punkt hat der Gesuchsgegner seiner prozessu- alen Obliegenheit nicht Genüge getan. Die Durchsuchung der Mobiltelefone und des Laptops des Gesuchsgegners ist in Anbetracht der zu untersuchen- den Straftat verhältnismässig.</w:t>
      </w:r>
    </w:p>
    <w:p>
      <w:r>
        <w:rPr>
          <w:b/>
        </w:rPr>
        <w:t>E. 7</w:t>
      </w:r>
    </w:p>
    <w:p>
      <w:r>
        <w:t>Nach dem Gesagten ist das Entsiegelungsgesuch gutzuheissen und die Ge- suchstellerin ist zu ermächtigen, die sichergestellten Mobiltelefone (U53722 und U53723) sowie den Laptop (U53724) des Gesuchsgegners zu entsie- geln und zu durchsuchen.</w:t>
      </w:r>
    </w:p>
    <w:p>
      <w:r>
        <w:rPr>
          <w:b/>
        </w:rPr>
        <w:t>E. 8</w:t>
      </w:r>
    </w:p>
    <w:p>
      <w:r>
        <w:t>Die Gerichtskosten sind bei diesem Ausgang des Verfahrens dem Gesuchs- gegner aufzuerlegen (vgl. Art. 25 Abs. 4 VStrR i.V.m. Art. 66 Abs. 1 BGG analog; TPF 2011 25 E. 3). Die Gerichtsgebühr ist auf Fr. 1'500.-- festzuset- zen (vgl. Art. 5 sowie Art.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