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BE.2019.3 vom 27. März 2019</w:t>
      </w:r>
    </w:p>
    <w:p>
      <w:r>
        <w:t>Bundesstrafgericht, 2019-03-27, DE</w:t>
      </w:r>
    </w:p>
    <w:p>
      <w:r>
        <w:rPr>
          <w:b/>
        </w:rPr>
        <w:t xml:space="preserve">Quelle: </w:t>
      </w:r>
      <w:r>
        <w:t>https://mcp.opencaselaw.ch/entscheid/bstger_BE.2019.3</w:t>
      </w:r>
    </w:p>
    <w:p>
      <w:r>
        <w:t>FR: TPF BE.2019.3 du 27 mars 2019</w:t>
      </w:r>
    </w:p>
    <w:p>
      <w:r>
        <w:t>IT: TPF BE.2019.3 del 27 marzo 2019</w:t>
      </w:r>
    </w:p>
    <w:p>
      <w:pPr>
        <w:pStyle w:val="Heading2"/>
      </w:pPr>
      <w:r>
        <w:t>Regeste</w:t>
      </w:r>
    </w:p>
    <w:p>
      <w:r>
        <w:t>Entsiegelung (Art. 50 Abs. 3 VStrR).</w:t>
      </w:r>
    </w:p>
    <w:p>
      <w:pPr>
        <w:pStyle w:val="Heading2"/>
      </w:pPr>
      <w:r>
        <w:t>Erwägungen</w:t>
      </w:r>
    </w:p>
    <w:p>
      <w:r>
        <w:rPr>
          <w:b/>
        </w:rPr>
        <w:t>E. 1.1</w:t>
      </w:r>
    </w:p>
    <w:p>
      <w:r>
        <w:t>Gemäss dem Bundesgesetz vom 15. Dezember 2000 über Arzneimittel und Medizinprodukte (Heilmittelgesetz, HMG; SR 812.21) wird die Strafverfol- gung im Vollzugsbereich des Bundes vom Schweizerischen Heilmittelinstitut Swissmedic nach den Bestimmungen des Bundesgesetzes vom 22. März 1974 über das Verwaltungsstrafrecht (VStrR; SR 313.0) geführt (Art. 90 Abs. 1 HMG; vgl. auch Art. 1 VStrR). Das Institut ist eine öffentlich-rechtliche Anstalt mit eigener Rechtspersönlichkeit (Art. 68 Abs. 2 HMG). Der Straf- rechtsdienst von Swissmedic ist im vorliegenden Fall für die Strafuntersu- chung im Vollzugsbereich des Bundes zuständig.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nur der Inhaber der Papiere legitimiert (Urteil des Bundesgerichts 1B_233/2009 vom 25. Februar 2010 E. 4.2 m.w.H.; TPF 2016 55 E. 2.3 S. 59). Über die Zulässigkeit der Durchsuchung entscheidet die Beschwerdekammer des Bundesstrafgerichts (Art. 50 Abs. 3 i.V.m. Art. 25 Abs. 1 VStrR und Art. 37 Abs. 2 lit. b StBOG). Die betroffene Verwaltungsbehörde hat bei der Stellung von Entsiegelungsgesuchen dem Beschleunigungsgebot ausreichend Rechnung zu tragen (Art. 29 Abs. 1 BV; Art. 5 StPO; BGE 139 IV 246 E. 3.2).</w:t>
      </w:r>
    </w:p>
    <w:p>
      <w:r>
        <w:rPr>
          <w:b/>
        </w:rPr>
        <w:t>E. 2</w:t>
      </w:r>
    </w:p>
    <w:p>
      <w:r>
        <w:t>Gegenstandslos ist ein Verfahren, wenn kein Rechtsschutzinteresse an der Beurteilung der Streitsache (mehr) besteht (BGE 125 V 373 E. 1 S. 374; 116 II 351 E. 3a S. 354). Der Gesuchsgegner verlangte am 11. Februar 2019 zur</w:t>
      </w:r>
    </w:p>
    <w:p>
      <w:r>
        <w:t>- 4 -</w:t>
      </w:r>
    </w:p>
    <w:p>
      <w:r>
        <w:t>Wahrung von Berufsgeheimnissen die Siegelung. Am 4. März 2019 stellte Swissmedic das Entsiegelungsgesuch. Die Gesundheitsdirektion des Kan- tons Zürich entband den Gesuchsgegner am 13. März 2019 gegenüber Swissmedic vom Berufsgeheimnis. Damit ist das Entsiegelungsverfahren gegenstandslos geworden und entsprechend abzuschreiben, was auch den Anträgen der Parteien entspricht.</w:t>
      </w:r>
    </w:p>
    <w:p>
      <w:r>
        <w:t>Unter den vorliegenden Umständen sind keine Gerichtskosten zu erheben (vgl. Art. 66 Abs. 2 BGG analog [vgl. hierzu TPF 2011 25 E. 3]; Beschlüsse des Bundesstrafgerichts BE.2018.18 vom 23. Januar 2019; BE.2018.9 vom 30. November 2018; BE.2016.2 vom 31. Mai 2016; BE.2015.3 und BE.2015.4 vom 25. August 2015; BE.2014.10 vom 17. September 2014; BE.2014.12 und BE.2014.15 vom 4. September 2014).</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