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BE.2019.1 vom 6. März 2019</w:t>
      </w:r>
    </w:p>
    <w:p>
      <w:r>
        <w:t>Bundesstrafgericht, 2019-03-06, FR</w:t>
      </w:r>
    </w:p>
    <w:p>
      <w:r>
        <w:rPr>
          <w:b/>
        </w:rPr>
        <w:t xml:space="preserve">Quelle: </w:t>
      </w:r>
      <w:r>
        <w:t>https://mcp.opencaselaw.ch/entscheid/bstger_BE.2019.1</w:t>
      </w:r>
    </w:p>
    <w:p>
      <w:r>
        <w:t>FR: TPF BE.2019.1 du 6 mars 2019</w:t>
      </w:r>
    </w:p>
    <w:p>
      <w:r>
        <w:t>IT: TPF BE.2019.1 del 6 marzo 2019</w:t>
      </w:r>
    </w:p>
    <w:p>
      <w:pPr>
        <w:pStyle w:val="Heading2"/>
      </w:pPr>
      <w:r>
        <w:t>Regeste</w:t>
      </w:r>
    </w:p>
    <w:p>
      <w:r>
        <w:t>Levée des scellés (art. 50 al. 3 DPA).</w:t>
      </w:r>
    </w:p>
    <w:p>
      <w:pPr>
        <w:pStyle w:val="Heading2"/>
      </w:pPr>
      <w:r>
        <w:t>Erwägungen</w:t>
      </w:r>
    </w:p>
    <w:p>
      <w:r>
        <w:rPr>
          <w:b/>
        </w:rPr>
        <w:t>E. 1</w:t>
      </w:r>
    </w:p>
    <w:p>
      <w:r>
        <w:t>A teneur des art. 25 al. 1 et 50 al. 3 DPA et de l’art. 37 al. 2 let. b de la loi fédérale sur l’organisation des autorités pénales de la Confédération (LOAP; RS 173.71), la Cour des plaintes du Tribunal pénal fédéral est compétente pour statuer sur la présente requête de levée des scellés, laquelle n’est soumise à aucun délai particulier. L’AFC est par ailleurs indiscutablement légitimée à soumettre une telle requête à la Cour de céans et l’a fait en conformité avec le principe de célérité.</w:t>
      </w:r>
    </w:p>
    <w:p>
      <w:r>
        <w:rPr>
          <w:b/>
        </w:rPr>
        <w:t>E. 2</w:t>
      </w:r>
    </w:p>
    <w:p>
      <w:r>
        <w:t>L’art. 190 al. 1 LIFD prévoit que lorsqu’il existe un soupçon fondé de graves infractions fiscales, d’assistance ou d’incitation à de tels actes, le Chef du Département fédéral des finances peut autoriser l’AFC à mener une enquête en collaboration avec les administrations fiscales cantonales. L’art. 190 al. 2 LIFD précise que par grave infraction fiscale, on entend en particulier la soustraction continue de montants importants d’impôt (art. 175 à 176 LIFD) et les délits fiscaux (art. 186 et 197 LIFD). Selon l’art. 191 al. 1, 1re phrase, LIFD, la procédure dirigée contre les auteurs, complices et instigateurs est réglée d’après les dispositions des art. 19 à 50 DPA. Au nombre des mesures prévues par la DPA figure notamment la perquisition visant des papiers (art. 50 DPA).</w:t>
      </w:r>
    </w:p>
    <w:p>
      <w:r>
        <w:rPr>
          <w:b/>
        </w:rPr>
        <w:t>E. 2.1</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t>- 4 -</w:t>
      </w:r>
    </w:p>
    <w:p>
      <w:r>
        <w:t>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(al. 3).</w:t>
      </w:r>
    </w:p>
    <w:p>
      <w:r>
        <w:rPr>
          <w:b/>
        </w:rPr>
        <w:t>E. 2.2</w:t>
      </w:r>
    </w:p>
    <w:p>
      <w:r>
        <w:t>Dans le cadre d’une demande de levée des scellés selon l’art. 50 al. 3 DPA, la Cour des plaintes du Tribunal pénal fédéral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arrêts du Tribunal fédéral 1B_167/2015 du 30 juin 2015 consid. 2.1; 1B_671/2012 du 8 mai 2013 consid. 3.7.1 et les références citées).</w:t>
      </w:r>
    </w:p>
    <w:p>
      <w:r>
        <w:rPr>
          <w:b/>
        </w:rPr>
        <w:t>E. 2.3</w:t>
      </w:r>
    </w:p>
    <w:p>
      <w:r>
        <w:t>La perquisition de documents n’est admissible qu’en présence d’indices suffisants de l’existence d’une infraction (arrêt du Tribunal fédéral 1B_671/2012 précité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 du Tribunal fédéral 1B_671/2012 précité consid. 3.8.1).</w:t>
      </w:r>
    </w:p>
    <w:p>
      <w:r>
        <w:rPr>
          <w:b/>
        </w:rPr>
        <w:t>E. 2.4</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rPr>
          <w:b/>
        </w:rPr>
        <w:t>E. 2.5</w:t>
      </w:r>
    </w:p>
    <w:p>
      <w:r>
        <w:t>Appelée à se prononcer sur une demande de levée de scellés, la Cour des plaintes doit donc examiner, d’une part, s’il existe des soupçons suffisants de l’existence d’une infraction et, d’autre part, si les documents présentent « apparemment » une pertinence pour l’instruction en cours. Ces questions ne peuvent être résolues dans le détail, puisque le contenu même des documents mis sous scellés n’est pas encore connu. L’autorité de levée des scellés doit s’en tenir, à ce stade, au principe de l’« utilité potentielle » des</w:t>
      </w:r>
    </w:p>
    <w:p>
      <w:r>
        <w:t>- 5 -</w:t>
      </w:r>
    </w:p>
    <w:p>
      <w:r>
        <w:t>pièces saisies (arrêt du Tribunal fédéral 1B.354/2009 du 2 mars 2010 consid. 3.2). Il est inévitable que la perquisition visant des papiers porte également sur des documents qui ne présentent aucun intérêt pour l’enquête (ATF 130 II 193 consid. 5.1 in fine p. 200; ATF 108 IV 75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 du Tribunal fédéral 1B_167/2015 précité consid. 2.1). Ce d’autant plus que, dans les premiers temps de l’enquête, des soupçons même encore peu précis peuvent être considérés comme étant suffisants (décision du Tribunal pénal fédéral BE.2011.5 du 22 mai 2012 consid. 3.2).</w:t>
      </w:r>
    </w:p>
    <w:p>
      <w:r>
        <w:rPr>
          <w:b/>
        </w:rPr>
        <w:t>E. 2.6</w:t>
      </w:r>
    </w:p>
    <w:p>
      <w:r>
        <w:t>En l’espèce, l’AFC soupçonne D. SA de s’être rendue coupable de soustraction d’impôt sur le bénéfice. Cette société aurait enregistré dans ses comptes de charges des pertes sur titres. Ces charges, non justifiées commercialement, auraient causé une réduction indue de l’impôt sur le bénéfice d’environ CHF 2,6 millions, pour les années 2009 à 2011. L’administration estime que ces actes devraient être qualifiés de graves infractions fiscales au sens de l’art. 190 al. 2 LIFD (act. 1.1).</w:t>
      </w:r>
    </w:p>
    <w:p>
      <w:r>
        <w:t>Dans sa requête, l’AFC précise en outre que, selon un contrat conclu le 11 janvier 2011 entre D. SA et J., le second aurait cédé à D. SA toutes les actions des sociétés E. Ltd, F. Ltd, G. Inc, H. Ltd et I. Ltd, ainsi que les actifs et créances détenus par ces dernières au 31 décembre 2009. Ce afin de garantir une prétendue dette arrêtée au 31 décembre 2009 au montant de CHF 4'200'000.--. Or selon les comptes de la société D. SA pour l’exercice 2011, J. n’avait pas de dette envers celle-ci. Au contraire, ce serait D. SA – selon ses comptes au 31 décembre 2010 – qui aurait eu une dette d’un montant d’environ CHF 9'600'000.-- à l’égard de la société I. Ltd. La société D. SA n’aurait comptabilisé ni les actifs cédés, ni le produit extraordinaire résultant de la cession à titre gratuit de l’ensemble des droits patrimoniaux sur les sociétés précitées. D. SA est l’ayant droit économique de plusieurs relations bancaires auprès de l’opposante, qui ne figurent pas dans son bilan, au nom des sociétés F. Ltd et E. Ltd. La non-comptabilisation des actifs ainsi que du produit extraordinaire résultant de la cession à titre gratuit notamment en relation avec les sociétés F. Ltd et E. Ltd a permis la réduction du bénéfice de la société et des distributions dissimulées de bénéfices aux actionnaires ou proches de ceux-ci (act. 1).</w:t>
      </w:r>
    </w:p>
    <w:p>
      <w:r>
        <w:rPr>
          <w:b/>
        </w:rPr>
        <w:t>E. 2.7</w:t>
      </w:r>
    </w:p>
    <w:p>
      <w:r>
        <w:t>Au vu de ce qui précède, force est de constater que l’existence de soupçons</w:t>
      </w:r>
    </w:p>
    <w:p>
      <w:r>
        <w:t>- 6 -</w:t>
      </w:r>
    </w:p>
    <w:p>
      <w:r>
        <w:t>fondés d’infractions fiscales apparaît réalisée en l’espèce, étant rappelé que, dans le cadre de la présente procédure – laquelle ne porte que sur la levée des scellés – la Cour de céans n’a pas à se prononcer sur la réalisation des infractions reprochées au prévenu, mais se limite à statuer sur l’admissibilité de la perquisition, en l’espèce, de la demande d’édition d’actes. In casu, l’AFC fournit des explications détaillées et accompagnées des pièces pertinentes dont elle dispose pour corroborer les éléments avancés. A ce stade de la procédure, ces soupçons paraissent précis et objectivement fondés. Il existe donc des indices suffisant d’infractions fiscales.</w:t>
      </w:r>
    </w:p>
    <w:p>
      <w:r>
        <w:rPr>
          <w:b/>
        </w:rPr>
        <w:t>E. 2.8</w:t>
      </w:r>
    </w:p>
    <w:p>
      <w:r>
        <w:t>Par ailleurs, il apparaît que la condition de l’importance présumée des papiers objet de la demande d’édition d’actes pour l’enquête pénale fiscale en cours est également réalisée dans le cas d’espèce. L’AFC a en effet circonscrit de façon précise sa demande d’édition d’actes, laquelle est concentrée sur des pièces qui peuvent paraître nécessaires à l’établissement des faits, à la preuve des infractions fiscales suspectées et, cas échéant, à la détermination de l’étendue et du montant total des soustractions opérées. La demande d’édition d’actes se concentre sur la documentation relative aux cinq sociétés dont les droits et actifs ont été cédé à D. SA, et ce dès 2011. Il appert dès lors que parmi les documents transmis se trouvent des informations pertinentes pour l’enquête.</w:t>
      </w:r>
    </w:p>
    <w:p>
      <w:r>
        <w:rPr>
          <w:b/>
        </w:rPr>
        <w:t>E. 2.9.1</w:t>
      </w:r>
    </w:p>
    <w:p>
      <w:r>
        <w:t>L’opposante soutient que les scellés sur les documents bancaires établis postérieurement au 31 décembre 2015 – concernant E. Inc et F. Ltd – n’ont pas à être levés, dès lors que la condition du soupçon fondé de grave infraction fiscale ne serait pas remplie s’agissant de cette période. La période fiscale sous enquête la plus récente concerne l’année 2013, de sorte qu’il serait disproportionné d’accorder la levée des scellés pour l’ensemble des documents requis (act. 1.3, p. 2-3; act. 3, p. 2). Selon l’AFC, la documentation relative à ces deux sociétés dès 2016 peut être pertinente, aux fins du « paper trail » en relation avec les revenus non déclarés issus desdites sociétés pour les périodes fiscales sous enquête (act. 1, p. 8).</w:t>
      </w:r>
    </w:p>
    <w:p>
      <w:r>
        <w:rPr>
          <w:b/>
        </w:rPr>
        <w:t>E. 2.9.2</w:t>
      </w:r>
    </w:p>
    <w:p>
      <w:r>
        <w:t>Dans le cadre de son enquête, l’AFC cherche à déterminer l’ensemble des montants soustraits suite à des opérations de transfert en faveur de D SA. Elle a déjà découvert d’elle-même un certain nombre d’opérations n’ayant pas été portées au bilan de la société sous enquête. L’on ne peut actuellement exclure que les périodes comprises entre le 1er janvier 2016 et le 31 décembre 2018 comportent des éléments permettant d’aider l’autorité fiscale. Eu égard au principe de l’utilité potentielle, la Cour de céans retient que l’ensemble des documents produits présentent, à ce stade, un intérêt pour l’enquête de l’AFC. S’il s’avère, après le tri effectué par cette dernière,</w:t>
      </w:r>
    </w:p>
    <w:p>
      <w:r>
        <w:t>- 7 -</w:t>
      </w:r>
    </w:p>
    <w:p>
      <w:r>
        <w:t>que ceux-ci ne seraient pas pertinents, ils seront restitués à l’opposante.</w:t>
      </w:r>
    </w:p>
    <w:p>
      <w:r>
        <w:rPr>
          <w:b/>
        </w:rPr>
        <w:t>E. 3</w:t>
      </w:r>
    </w:p>
    <w:p>
      <w:r>
        <w:t>L’opposante fait ensuite valoir le droit au respect des secrets privés. Elle soutient que l’AFC n’est pas légitimée à avoir accès aux documents relevant de sa sphère privée économique, eu égard au caractère confidentiel de ces documents. Elle se prévaut également du droit au secret relatif à ses relations d’affaires (act. 1.3, p. 2-3).</w:t>
      </w:r>
    </w:p>
    <w:p>
      <w:r>
        <w:rPr>
          <w:b/>
        </w:rPr>
        <w:t>E. 3.1</w:t>
      </w:r>
    </w:p>
    <w:p>
      <w:r>
        <w:t>En l’espèce, l’opposante ne démontre nullement en quoi son intérêt propre primerait l’intérêt public, ni précisément quels documents, singulièrement pour quelles raisons, leur contenu ne devrait pas être divulgué. Elle ne fait valoir aucun secret professionnel au sens de l’art. 50 al. 2 DPA et les secrets privés allégués, à savoir le caractère confidentiel des données ou des relations d’affaires – aucunement étayés – ne sont pas de nature à remettre en cause la pertinence les documents transmis pour l’enquête, comme détaillé infra (cf. consid. 2.8 et 2.9). Il convient ainsi de se référer à l’argumentation de l’AFC, laquelle retient que l’opposante ne démontre pas en quoi l’intérêt propre de la banque primerait l’intérêt public et empêcherait ainsi la levée des scellés.</w:t>
      </w:r>
    </w:p>
    <w:p>
      <w:r>
        <w:rPr>
          <w:b/>
        </w:rPr>
        <w:t>E. 4</w:t>
      </w:r>
    </w:p>
    <w:p>
      <w:r>
        <w:t>Au vu de ce qui précède, la demande de levée des scellés est admise. Il n’est dès lors pas nécessaire d’examiner si les documents transmis par l’opposante à l’AFC le 2 novembre 2018 étaient pour partie remis sous scellés, comme le soutient la première, ou au contraire libre de tout scellés comme le soutient l’autorité, ce point devenant sans objet. L’AFC est ainsi autorisée à lever les scellés sur l’ensemble de la documentation bancaire produite par l’opposante le 2 novembre 2018.</w:t>
      </w:r>
    </w:p>
    <w:p>
      <w:r>
        <w:rPr>
          <w:b/>
        </w:rPr>
        <w:t>E. 5</w:t>
      </w:r>
    </w:p>
    <w:p>
      <w:r>
        <w:t>L’opposante, qui succombe, supportera un émolument, lequel est fixé à CHF 2'000.-- (art. 73 LOAP applicable par renvoi de l’art. 25 al. 4 DPA; art. 5 et 8 du règlement du Tribunal pénal fédéral du 31 août 2010 sur les frais, émoluments, dépens et indemnités de la procédure pénale fédérale; RS 173.731.162).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