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BE.2018.9 vom 30. November 2018</w:t>
      </w:r>
    </w:p>
    <w:p>
      <w:r>
        <w:t>Bundesstrafgericht, 2018-11-30, DE</w:t>
      </w:r>
    </w:p>
    <w:p>
      <w:r>
        <w:rPr>
          <w:b/>
        </w:rPr>
        <w:t xml:space="preserve">Quelle: </w:t>
      </w:r>
      <w:r>
        <w:t>https://mcp.opencaselaw.ch/entscheid/bstger_BE.2018.9</w:t>
      </w:r>
    </w:p>
    <w:p>
      <w:r>
        <w:t>FR: TPF BE.2018.9 du 30 novembre 2018</w:t>
      </w:r>
    </w:p>
    <w:p>
      <w:r>
        <w:t>IT: TPF BE.2018.9 del 30 novembre 2018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Volltext</w:t>
      </w:r>
    </w:p>
    <w:p>
      <w:r>
        <w:t>Beschluss vom 30. November 2018 Beschwerdekammer Besetzung</w:t>
      </w:r>
    </w:p>
    <w:p>
      <w:r>
        <w:t>Bundesstrafrichter Giorgio Bomio-Giovanascini, Vorsitz, Roy Garré und Stephan Blättler, Gerichtsschreiber Stefan Graf</w:t>
      </w:r>
    </w:p>
    <w:p>
      <w:r>
        <w:t>Parteien</w:t>
      </w:r>
    </w:p>
    <w:p>
      <w:r>
        <w:t>EIDGENÖSSISCHE STEUERVERWALTUNG, Gesuchstellerin</w:t>
      </w:r>
    </w:p>
    <w:p>
      <w:r>
        <w:t>gegen</w:t>
      </w:r>
    </w:p>
    <w:p>
      <w:r>
        <w:t>A. AG, vertreten durch Rechtsanwalt Jodok Wicki, Gesuchsgegnerin</w:t>
      </w:r>
    </w:p>
    <w:p>
      <w:r>
        <w:t>Gegenstand</w:t>
      </w:r>
    </w:p>
    <w:p>
      <w:r>
        <w:t>Entsiegelung (Art. 50 Abs. 3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BE.2018.9</w:t>
      </w:r>
    </w:p>
    <w:p>
      <w:r>
        <w:t>- 2 -</w:t>
      </w:r>
    </w:p>
    <w:p>
      <w:r>
        <w:t>Die Beschwerdekammer hält fest, dass:</w:t>
      </w:r>
    </w:p>
    <w:p>
      <w:r>
        <w:t>- die Eidgenössische Steuerverwaltung (nachfolgend «ESTV») u. a. gegen die A. AG eine besondere Steueruntersuchung im Sinne der Art. 190 ff. des Bun- desgesetzes vom 14. Dezember 1990 über die direkte Bundessteuer (DBG; SR 642.11) führt (vgl. act. 1.1);</w:t>
      </w:r>
    </w:p>
    <w:p>
      <w:r>
        <w:t>- die ESTV im Rahmen dieser Untersuchung am Hauptsitz und an zwei Zweig- niederlassungen der A. AG zur Hausdurchsuchung schritt, an den verschie- denen Standorten eine Reihe von Unterlagen und elektronischen Datenträ- gern sicherstellte und diese nach entsprechender Einsprache durch die A. AG siegelte (act. 1.5-1.8);</w:t>
      </w:r>
    </w:p>
    <w:p>
      <w:r>
        <w:t>- die ESTV die Beschwerdekammer des Bundesstrafgerichts am 23. Juli 2018 um Ermächtigung ersuchte, die betreffenden Unterlagen und Datenträger zu entsiegeln und zu durchsuchen (act. 1);</w:t>
      </w:r>
    </w:p>
    <w:p>
      <w:r>
        <w:t>- diesbezüglich der Schriftenwechsel durchgeführt wurde (act. 2-11);</w:t>
      </w:r>
    </w:p>
    <w:p>
      <w:r>
        <w:t>- sich die Parteien im Anschluss daran einigten und die A. AG der ESTV ge- genüber mit Schreiben vom 27. November 2018 ihre Einsprache gegen die Durchsuchung zurückzog und ausführte, das Entsiegelungsverfahren werde damit gegenstandslos (act. 12.1);</w:t>
      </w:r>
    </w:p>
    <w:p>
      <w:r>
        <w:t>- die ESTV die Beschwerdekammer mit Schreiben vom 29. November 2018 darüber in Kenntnis setzte und um Abschreibung des Verfahrens ersucht (act. 12).</w:t>
      </w:r>
    </w:p>
    <w:p>
      <w:r>
        <w:t>Die Beschwerdekammer zieht in Erwägung, dass:</w:t>
      </w:r>
    </w:p>
    <w:p>
      <w:r>
        <w:t>- sich das Verfahren wegen des Verdachts schwerer Steuerwiderhandlungen gegenüber dem Täter, dem Gehilfen und dem Anstifter gemäss Art. 191 Abs. 1 DBG nach den Artikeln 19-50 des Bundesgesetzes vom 22. März 1974 über das Verwaltungsstrafrecht (VStrR; SR 313.0) richtet;</w:t>
      </w:r>
    </w:p>
    <w:p>
      <w:r>
        <w:t>- die Beschwerdekammer über die Zulässigkeit der Durchsuchung von Papie- ren und Datenträgern (vgl. hierzu BGE 108 IV 76 E. 1) zu entscheiden hat (Art. 50 Abs. 3 VStrR);</w:t>
      </w:r>
    </w:p>
    <w:p>
      <w:r>
        <w:t>- 3 -</w:t>
      </w:r>
    </w:p>
    <w:p>
      <w:r>
        <w:t>- mit dem Rückzug der gegen die Durchsuchung gerichteten Einsprache durch die Gesuchsgegnerin das vorliegende Verfahren zufolge Gegen- standslosigkeit als erledigt abzuschreiben ist (vgl. hierzu zuletzt die Be- schlüsse des Bundesstrafgerichts BE.2017.24 vom 11. Januar 2018; BE.2017.8 vom 6. April 2017; BE.2016.2 vom 31. Mai 2016);</w:t>
      </w:r>
    </w:p>
    <w:p>
      <w:r>
        <w:t>- unter den vorliegenden Umständen keine Gerichtskosten zu erheben sind (vgl. Art. 66 Abs. 2 BGG analog [vgl. hierzu TPF 2011 25 E. 3]; Beschlüsse des Bundesstrafgerichts BE.2016.2 vom 31. Mai 2016; BE.2015.3 und BE.2015.4 vom 25. August 2015; BE.2014.10 vom 17. September 2014; BE.2014.12 und BE.2014.15 vom 4. September 2014);</w:t>
      </w:r>
    </w:p>
    <w:p>
      <w:r>
        <w:t>- der in ihrem amtlichen Wirkungskreis handelnden Gesuchstellerin keine Par- teientschädigung zuzusprechen ist (Art. 68 Abs. 3 BGG analog);</w:t>
      </w:r>
    </w:p>
    <w:p>
      <w:r>
        <w:t>- 4 -</w:t>
      </w:r>
    </w:p>
    <w:p>
      <w:r>
        <w:t>und erkennt:</w:t>
      </w:r>
    </w:p>
    <w:p>
      <w:r>
        <w:t>1. Das Verfahren wird zufolge Gegenstandslosigkeit als erledigt abgeschrieben.</w:t>
      </w:r>
    </w:p>
    <w:p>
      <w:r>
        <w:t>2. Es wird keine Gerichtsgebühr erhoben.</w:t>
      </w:r>
    </w:p>
    <w:p>
      <w:r>
        <w:t>Bellinzona, 3. Dezember 2018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Eidgenössische Steuerverwaltung - Rechtsanwalt Jodok Wicki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Instruktions- 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