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BE.2018.17 vom 25. Oktober 2018</w:t>
      </w:r>
    </w:p>
    <w:p>
      <w:r>
        <w:t>Bundesstrafgericht, 2018-10-25, DE</w:t>
      </w:r>
    </w:p>
    <w:p>
      <w:r>
        <w:rPr>
          <w:b/>
        </w:rPr>
        <w:t xml:space="preserve">Quelle: </w:t>
      </w:r>
      <w:r>
        <w:t>https://mcp.opencaselaw.ch/entscheid/bstger_BE.2018.17</w:t>
      </w:r>
    </w:p>
    <w:p>
      <w:r>
        <w:t>FR: TPF BE.2018.17 du 25 octobre 2018</w:t>
      </w:r>
    </w:p>
    <w:p>
      <w:r>
        <w:t>IT: TPF BE.2018.17 del 25 ottobre 2018</w:t>
      </w:r>
    </w:p>
    <w:p>
      <w:pPr>
        <w:pStyle w:val="Heading2"/>
      </w:pPr>
      <w:r>
        <w:t>Regeste</w:t>
      </w:r>
    </w:p>
    <w:p>
      <w:r>
        <w:t>Siegelungsantrag (Art. 50 Abs. 3 VStrR).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Januar 2013 E. 2.2);</w:t>
      </w:r>
    </w:p>
    <w:p>
      <w:r>
        <w:t>- dies unabhängig davon gilt, wo sich die zu durchsuchenden Papiere befin- den;</w:t>
      </w:r>
    </w:p>
    <w:p>
      <w:r>
        <w:t>- vorliegend mithin mangels Zuständigkeit der Beschwerdekammer auf den Siegelungsantrag nicht einzutreten ist;</w:t>
      </w:r>
    </w:p>
    <w:p>
      <w:r>
        <w:t>- der Siegelungsantrag zuständigkeitshalber an das EFD zur Behandlung zu- rückzuweisen ist;</w:t>
      </w:r>
    </w:p>
    <w:p>
      <w:r>
        <w:t>- keine Gerichtsgebühr zu erheben ist (Art. 97 Abs. 1 VStrR i.V.m. Art. 423 StPO).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