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BE.2017.7 vom 1. Juni 2017</w:t>
      </w:r>
    </w:p>
    <w:p>
      <w:r>
        <w:t>Bundesstrafgericht, 2017-06-01, DE</w:t>
      </w:r>
    </w:p>
    <w:p>
      <w:r>
        <w:rPr>
          <w:b/>
        </w:rPr>
        <w:t xml:space="preserve">Quelle: </w:t>
      </w:r>
      <w:r>
        <w:t>https://mcp.opencaselaw.ch/entscheid/bstger_BE.2017.7</w:t>
      </w:r>
    </w:p>
    <w:p>
      <w:r>
        <w:t>FR: TPF BE.2017.7 du 1 juin 2017</w:t>
      </w:r>
    </w:p>
    <w:p>
      <w:r>
        <w:t>IT: TPF BE.2017.7 del 1 giugno 2017</w:t>
      </w:r>
    </w:p>
    <w:p>
      <w:pPr>
        <w:pStyle w:val="Heading2"/>
      </w:pPr>
      <w:r>
        <w:t>Regeste</w:t>
      </w:r>
    </w:p>
    <w:p>
      <w:r>
        <w:t>Entsiegelung (Art. 50 Abs. 3 VStrR).</w:t>
      </w:r>
    </w:p>
    <w:p>
      <w:pPr>
        <w:pStyle w:val="Heading2"/>
      </w:pPr>
      <w:r>
        <w:t>Erwägungen</w:t>
      </w:r>
    </w:p>
    <w:p>
      <w:r>
        <w:rPr>
          <w:b/>
        </w:rPr>
        <w:t>E. 1</w:t>
      </w:r>
    </w:p>
    <w:p>
      <w:r>
        <w:t>Gemäss Art. 128 Abs. 1 des Zollgesetzes vom 18. März 2005 (ZG; SR 631.0) werden Widerhandlungen gegen das ZG nach diesem und dem Bundesge- setz vom 22. März 1974 über das Verwaltungsstrafrecht (VStrR; SR 313.0) verfolgt und beurteilt. Verfolgende und urteilende Behörde ist die EZV (Art. 128 Abs. 2 ZG). Gemäss Art. 40 Abs. 1 des Automobilsteuergesetzes (AStG; SR 641.51) werden Widerhandlungen gegen das AStG nach dem VStrR verfolgt und beurteilt. Verfolgende und urteilende Behörde ist die EZV (Art. 40 Abs. 2 AStG). Gemäss Art. 103 Abs. 1 des Bundesgesetzes über die Mehrwertsteuer vom 12. Juni 2009 (Mehrwertsteuergesetz, MWSTG; SR 641.20) ist auf die Strafverfolgung mit Ausnahme der Art. 63 Abs. 1 und Abs. 2, Art. 69 Abs. 2, Art. 73 Abs. 1 letzter Satz sowie Art. 77 Abs. 4 das VStrR anwendbar. Bei der Einfuhrsteuer obliegt die Strafverfolgung der EZV (Art. 103 Abs. 2 MWSTG). Hat eine zuständige Behörde auch andere straf- bare Handlungen, für welche das VStrR anwendbar ist, zu untersuchen oder zu beurteilen, so gilt Art. 103 Abs. 1 MWSTG für alle strafbaren Handlungen (Art. 103 Abs. 5 MWSTG).</w:t>
      </w:r>
    </w:p>
    <w:p>
      <w:r>
        <w:t>Soweit das VStrR einzelne Fragen nicht abschliessend regelt, sind die Be- stimmungen der StPO grundsätzlich analog anwendbar (BGE 139 IV 246 E. 1.2; vgl. auch TPF BE.2015.13 vom 1. März 2016 E. 2.3, zur Publikation vorgesehen).</w:t>
      </w:r>
    </w:p>
    <w:p>
      <w:r>
        <w:t>- 4 -</w:t>
      </w:r>
    </w:p>
    <w:p>
      <w:r>
        <w:rPr>
          <w:b/>
        </w:rPr>
        <w:t>E. 2.1</w:t>
      </w:r>
    </w:p>
    <w:p>
      <w:r>
        <w:t>Bei Durchsuchungen in Strafverfahren nach VStrR ist dem Inhaber der "Pa- piere" (bzw. der zu durchsuchenden Aufzeichnungen und Gegenstände) wenn immer möglich Gelegenheit zu geben, sich zuvor über ihren Inhalt aus- zusprechen. Erhebt er gegen die Durchsuchung Einsprache, so werden die Papiere versiegelt und verwahrt. Zur Einsprache gegen die Durchsuchung ist nur der Inhaber der Papiere legitimiert (Urteil des Bundesgerichts 1B_233/2009 vom 25. Februar 2010, E. 4.2 m.w.H.; TPF BE.2015.13 vom 1. März 2016 E. 2.3, zur Publikation vorgesehen). Über die Zulässigkeit der Durchsuchung entscheidet die Beschwerdekammer des Bundesstrafge- richts (Art. 50 Abs. 3 i.V.m. Art. 25 Abs. 1 VStrR und Art. 37 Abs. 2 lit. b des Bundesgesetzes vom 19. März 2010 über die Organisation der Strafbehör- den des Bundes [Strafbehördenorganisationsgesetz, StBOG; SR 173.71]). Eine förmliche Frist zur Einreichung des Entsiegelungsgesuchs der Untersu- chungsbehörde kennt das VStrR nicht. Die untersuchende Verwaltungsbe- hörde hat allerdings – gerade bei Entsiegelungsgesuchen – dem Beschleu- nigungsgebot in Strafsachen ausreichend Rechnung zu tragen (Art. 29 Abs. 1 BV, Art. 5 Abs. 1 StPO). Die allgemeinen strafprozessualen und ver- fassungsrechtlichen Grundsätze sind jedenfalls auch im Verwaltungsstraf- verfahren zu berücksichtigen (vgl. zum Ganzen BGE 139 IV 246 E. 3.2).</w:t>
      </w:r>
    </w:p>
    <w:p>
      <w:r>
        <w:rPr>
          <w:b/>
        </w:rPr>
        <w:t>E. 2.2</w:t>
      </w:r>
    </w:p>
    <w:p>
      <w:r>
        <w:t>Vorliegend zur Beurteilung steht die Entsiegelung einer versiegelten grünen Dispobox, enthaltend Papiere und Datenträger, darunter Mobiltelefone und Laptops, die sich im gemeinsamen Zimmer der Gesuchsgegner befanden. Die Gesuchsgegner sind mithin Inhaber der zu durchsuchenden Aufzeich- nungen und Gegenstände. Aus den Akten geht nicht klar hervor, ob nur der Gesuchsgegner 1 oder auch die Gesuchsgegnerin 2 Einsprache gegen die Durchsuchung erhob. Mit dem Gesuchsgegner 1 erhob indes jedenfalls eine zur Einsprache legitimierte Person rechtsgültig Einsprache. Die übrigen Ein- tretensvoraussetzungen geben zu keinen Bemerkungen Anlass. Auf das Ge- such ist einzutreten.</w:t>
      </w:r>
    </w:p>
    <w:p>
      <w:r>
        <w:rPr>
          <w:b/>
        </w:rPr>
        <w:t>E. 3</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 Von einer Durchsuchung von Papieren, bei der es sich um eine strafprozessuale Zwangsmassnahme handelt, wird gesprochen, wenn Schriftstücke oder Datenträger im Hinblick auf ihren Inhalt oder ihre</w:t>
      </w:r>
    </w:p>
    <w:p>
      <w:r>
        <w:t>- 5 -</w:t>
      </w:r>
    </w:p>
    <w:p>
      <w:r>
        <w:t>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Die Durchsuchung von Papieren ist dabei mit grösster Schonung der Privatgeheimnisse und unter Wahrung der Berufs- und Amtsgeheimnisse durchzuführen (Art. 50 Abs. 1 und Abs. 2 VStrR; vgl. zum Ganzen TPF 2007 96 E. 2; zuletzt u.a. Beschluss des Bun- desstrafgerichts BE.2017.1 vom 26. April 2017, E. 2).</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zuletzt u.a. Beschluss des Bun- desstrafgerichts BE.2017.1 vom 26. April 2017, E. 3.1; je m.w.H.).</w:t>
      </w:r>
    </w:p>
    <w:p>
      <w:r>
        <w:rPr>
          <w:b/>
        </w:rPr>
        <w:t>E. 4.2</w:t>
      </w:r>
    </w:p>
    <w:p>
      <w:r>
        <w:t>Die Gesuchstellerin verdächtigt den Gesuchsgegner 1 der Zollhinterziehung (Art. 118 Abs. 1 ZG), der Hinterziehung von Automobilsteuern (Art. 36 AStG) sowie der Hinterziehung von Mehrwertsteuern (Art. 96 Abs. 4 lit. a MWSTG; act. 1, S. 3, S. 7). Den Sachverhalt legt die Gesuchstellerin in ihrem Gesuch wie folgt dar (act. 1, S. 4 ff.):</w:t>
      </w:r>
    </w:p>
    <w:p>
      <w:r>
        <w:t>Im Juli 2015 habe der Gesuchsgegner 1 bei der Zollstelle Bern einen Audi mit einem Wert von Fr. 31'823.– zur Einfuhrverzollung angemeldet. Im Rah- men von Internetrecherchen sei festgestellte worden, dass exakt dieses Fahrzeug auf einer russischen Audi Club-Internetseite im Wert von Fr. 141'536.– gehandelt worden sei (act. 1.1; act. 1.2). Im Oktober 2015 sei bei der Zollstelle Bern ein Rolls Royce mit einem Wert von Fr. 80'000.– zur Einfuhrverzollung angemeldet worden. Als Verkäuferin sei die Gesuchsgeg- nerin 2 und als Käufer D. aufgetreten. Gemäss Internetrecherchen sei dieses</w:t>
      </w:r>
    </w:p>
    <w:p>
      <w:r>
        <w:t>- 6 -</w:t>
      </w:r>
    </w:p>
    <w:p>
      <w:r>
        <w:t>Fahrzeug zu einem Preis von Fr. 209'000.– zum Verkauf angeboten worden (act. 1.13, Register 7). Weitere Recherchen hätten ergeben, dass der Ge- suchsgegner 1 bei weiteren fünf Fahrzeugimporten jeweils als Importeur, Empfänger und Spediteur aufgetreten sei. Dabei seien die Fahrzeuge unter den üblichen Marktwerten deklariert worden (act. 1.13, Register 8–12). Wei- ter sei festgestellt worden, dass der Gesuchsgegner 1 bei weiteren acht Fahrzeugimporten, welche bei der Überführung in den zollrechtlich freien Verkehr ebenfalls unter den üblichen Marktwerten deklariert worden seien, als Verkäufer aufgetreten sei (act. 1.13, Register 1–6, Register 13–14).</w:t>
      </w:r>
    </w:p>
    <w:p>
      <w:r>
        <w:t>An der Einvernahme vom 31. Januar 2017 habe der Gesuchsgegner 1 zu Protokoll gegeben, dass sein Schwiegervater (Vater der Gesuchsgegne- rin 2) einer der grössten Garagisten in Moskau sei und er über ihn zum Audi gekommen sei. Gemäss Aussage des Gesuchsgegners 1 sei ihm sein Schwiegervater bei den Ankäufen in Russland behilflich, da er selbst wenig Russisch spreche (act. 9, S. 2, S. 23). Weiter sei zu berücksichtigen, dass der Gesuchsgegner 1 durch E. (Käufer diverser Fahrzeuge) anlässlich der Einvernahme belastet worden sei. Angeblich sei für die Fahrzeuge Lambor- ghini Aventador (act. 11, S. 5–6, S. 19), Mercedes Benz CLA AMG (act. 11, S. 12, S. 19), Mercedes Benz S600 Guard (act. 11, S. 13–14, S. 19), Bentley Continental (act. 11, S. 15, S. 19), Rolls-Royce (act. 12, S. 9, S. 11, S. 13, S. 31), Maserati Granturismo (act. 12, S. 14, S. 16, S. 31) und Porsche Ca- yenne (act. 12, S. 19–20, S. 31) mehr bezahlt worden, als bei der Einfuhr deklariert worden sei. Zudem sei ausgesagt worden, dass sich die Fahr- zeuge am Tag der jeweiligen Zollanmeldung bereits in der Schweiz befunden hätten, also bereits vorher durch den Gesuchsgegner 1 oder auf seine Ver- anlassung ohne Zollanmeldung in die Schweiz verbracht worden seien (act. 11, S. 9, S. 13, S. 16–17, S. 19; act. 12, S. 6, S. 8, S. 11–13, S. 14, S. 17, S. 21–22, S. 31; act. 10, S. 5, S. 12).</w:t>
      </w:r>
    </w:p>
    <w:p>
      <w:r>
        <w:rPr>
          <w:b/>
        </w:rPr>
        <w:t>E. 4.3.1</w:t>
      </w:r>
    </w:p>
    <w:p>
      <w:r>
        <w:t>Waren, die ins Zollgebiet oder aus dem Zollgebiet verbracht werden, sind zollpflichtig und müssen nach dem ZG sowie nach dem Zolltarifgesetz ver- anlagt werden (Art. 7 ZG). Dazu muss, wer Waren ins Zollgebiet verbringt, verbringen lässt oder sie danach übernimmt, sie unverzüglich und unverän- dert der nächstgelegenen Zollstelle zuführen oder zuführen lassen (Art. 21 Abs. 1 Satz 1 ZG). Die zuführungspflichtige Person oder die von ihr Beauf- tragten müssen die der Zollstelle zugeführten Waren gestellen – d.h. der EZV mitteilen, dass sich die Waren bei der Zollstelle oder an einem anderen von der EZV zugelassenen Ort befinden (Art. 24 Abs. 2 ZG) – und summarisch anmelden (Art. 24 Abs. 1 ZG). Die anmeldepflichtige Person muss die der</w:t>
      </w:r>
    </w:p>
    <w:p>
      <w:r>
        <w:t>- 7 -</w:t>
      </w:r>
    </w:p>
    <w:p>
      <w:r>
        <w:t>Zollstelle zugeführten, gestellten und summarisch angemeldeten Waren in- nerhalb der von der EZV bestimmten Frist zur Veranlagung anmelden und die Begleitdokumente einreichen (Art. 25 Abs. 1 ZG). Nach Art. 118 Abs. 1 ZG macht sich u.a. strafbar, wer vorsätzlich oder fahrlässig die Zollabgaben durch Nichtanmelden, Verheimlichen oder unrichtige Zollanmeldung der Wa- ren oder in irgendeiner anderen Weise ganz oder teilweise hinterzieht.</w:t>
      </w:r>
    </w:p>
    <w:p>
      <w:r>
        <w:t>Für die Automobilsteuer gilt die Zollgesetzgebung, soweit das AStG nichts anderes bestimmt (Art. 7 AStG). Die Einfuhr von Automobilen ins Inland un- terliegt der Automobilsteuer (Art. 22 Abs. 1 AStG). Nach Art. 36 Abs. 1 Satz 1 AStG macht sich u.a. strafbar, wer die Automobilsteuer vorsätzlich oder fahr- lässig bei der Einfuhr durch Nichtanmeldung, Verheimlichung, unrichtige De- klaration der Automobile oder in irgendeiner andern Weise ganz oder teil- weise hinterzieht oder gefährdet oder sich oder einer andern Person sonst wie einen unrechtmässigen Steuervorteil verschafft oder die gesetzmässige Veranlagung gefährdet.</w:t>
      </w:r>
    </w:p>
    <w:p>
      <w:r>
        <w:t>Für die Steuer, die der Bund als Mehrwertsteuer auf der Einfuhr von Gegen- ständen erhebt (Einfuhrsteuer; Art. 1 Abs. 2 lit. c MWSTG), gilt die Zollge- setzgebung, soweit Art. 51 ff. MWSTG nichts anderes anordnen (Art. 50 MWSTG). Der Steuer unterliegen u.a. die Einfuhr von Gegenständen ein- schliesslich der darin enthaltenen Dienstleistungen und Rechte (Art. 52 Abs. 1 lit. a MWSTG). Nach Art. 96 Abs. 4 lit. a MWSTG macht sich strafbar, wer die Steuerforderung zulasten des Staates verkürzt, indem er vorsätzlich oder fahrlässig bei der Einfuhr Waren nicht oder unrichtig anmeldet oder ver- heimlicht.</w:t>
      </w:r>
    </w:p>
    <w:p>
      <w:r>
        <w:rPr>
          <w:b/>
        </w:rPr>
        <w:t>E. 4.3.2</w:t>
      </w:r>
    </w:p>
    <w:p>
      <w:r>
        <w:t>Die im Entsiegelungsgesuch und den dazugehörenden Beilagen enthaltene Darstellung des Gegenstands der Strafuntersuchung genügt zur Begrün- dung eines hinreichenden Tatverdachts hinsichtlich der untersuchten Tatbe- stände. Demzufolge besteht der Verdacht, dass der Gesuchsgegner 1 zahl- reiche Automobile bei der Überführung in die Schweiz nicht oder unrichtig anmeldete. Dieser Sachverhalt lässt sich unter die Art. 118 Abs. 1 ZG, Art. 36 Abs. 1 Satz 1 AStG und Art. 96 Abs. 4 lit. a MWSTG subsumieren.</w:t>
      </w:r>
    </w:p>
    <w:p>
      <w:r>
        <w:rPr>
          <w:b/>
        </w:rPr>
        <w:t>E. 5.1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w:t>
      </w:r>
    </w:p>
    <w:p>
      <w:r>
        <w:t>- 8 -</w:t>
      </w:r>
    </w:p>
    <w:p>
      <w:r>
        <w:t>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m.w.H.). Betroffene Inhaber von Aufzeichnungen und Gegenständen, welche die Versiegelung beantragen bzw. Durchsu- chungshindernisse geltend machen, haben ihrerseits die prozessuale Oblie- genheit, jene Gegenstände zu benennen, die ihrer Ansicht nach offensicht- lich keinen Sachzusammenhang mit der Strafuntersuchung aufweisen. Dies gilt besonders, wenn sie die Versiegelung von sehr umfangreichen bzw. komplexen Dokumenten oder Dateien verlangt haben (Urteil des Bundesge- richts 1B_637/2012 vom 8. Mai 2013, E. 3.8.1 in fine [in BGE 139 IV 246 nicht publizierte Erwägung]; vgl. zum Ganzen zuletzt u.a. Beschluss des Bundesstrafgerichts BE.2017.1 vom 26. April 2017, E. 4.1).</w:t>
      </w:r>
    </w:p>
    <w:p>
      <w:r>
        <w:rPr>
          <w:b/>
        </w:rPr>
        <w:t>E. 5.2</w:t>
      </w:r>
    </w:p>
    <w:p>
      <w:r>
        <w:t>Die Gesuchstellerin führt diesbezüglich aus, den Akten könne entnommen werden, dass der Gesuchsgegner 1 das Fahrzeug Rolls Royce (bei welchem die Gesuchsgegnerin 2 bei der Einfuhr als Verkäuferin aufgetreten sei) im Internet zum Verkauf angeboten und dabei seine Mobiltelefonnummer zur Kontaktaufnahme öffentlich hinterlegt habe (act. 13, Register 7). Dement- sprechend sei davon auszugehen, dass die Gesuchsgegner ihre diesbezüg- lichen Unterlagen auf den sichergestellten Laptops und Mobiltelefonen füh- ren. Es sei nicht auszuschliessen, dass sich unter den sichergestellten Pa- pieren und Datenträgern in Zusammenhang mit den Fahrzeugkäufen und - verkäufen untersuchungsrelevante Informationen wie Verträge, Rechnun- gen, Bankbelege und E-Mailverkehr finden liessen. Die sichergestellten Pa- piere und Datenträger könnten Aufschluss über die Geschäfte geben. Zu- dem sei zu beachten, dass bei den Gesuchsgegnern lediglich die sicherge- stellten Papiere und Datenträger vorgefunden worden seien, andere Unter- lagen seien keine vorhanden, so dass auch deshalb davon ausgegangen werden müsse, dass sich darunter beweisrelevante Angaben befänden (act. 1, S. 6 f.).</w:t>
      </w:r>
    </w:p>
    <w:p>
      <w:r>
        <w:rPr>
          <w:b/>
        </w:rPr>
        <w:t>E. 5.3</w:t>
      </w:r>
    </w:p>
    <w:p>
      <w:r>
        <w:t>Dass sich unter den versiegelten Papieren und Datenträgern mit Blick auf den Untersuchungsgegenstand grundsätzlich untersuchungsrelevante Infor- mationen befinden, muss angenommen werden, insbesondere nachdem Käufe und Verkäufe betroffener Fahrzeuge offenbar auch über das Internet und Mobiltelefone der Gesuchsgegner abgewickelt wurden. Es wurde dar- über hinaus weder von den Gesuchsgegnern dargetan noch ist ersichtlich, dass sich darunter Gegenstände befinden, die offensichtlich keinen Sachzu- sammenhang mit der Strafuntersuchung aufweisen.</w:t>
      </w:r>
    </w:p>
    <w:p>
      <w:r>
        <w:t>- 9 -</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im Zusammenhang mit dem Schutz der Privatsphäre gemäss Art. 13 BV (vgl. MÜLLER/SCHEFER, Grundrechte in der Schweiz, 4. Aufl., Bern 2008, S. 199), welcher bei der Durchsuchung von Papieren zu beachten ist.</w:t>
      </w:r>
    </w:p>
    <w:p>
      <w:r>
        <w:rPr>
          <w:b/>
        </w:rPr>
        <w:t>E. 6.2</w:t>
      </w:r>
    </w:p>
    <w:p>
      <w:r>
        <w:t>Anlässlich der Einsprache gegen die Durchsuchung der sichergestellten Pa- piere und Datenträger machten die Gesuchsgegner sinngemäss auch Pri- vatgeheimnisse geltend.</w:t>
      </w:r>
    </w:p>
    <w:p>
      <w:r>
        <w:t>Privatgeheimnisse geniessen nicht den gleichen Schutz wie das Amts- oder Berufsgeheimnis. Es ist eine Interessenabwägung zwischen den Geheim- haltungsinteressen der Betroffenen und den Interessen an der Strafverfol- gung vorzunehmen, was nichts anderes darstellt als die Anwendung des Verhältnismässigkeitsgrundsatzes (KELLER, in: Donatsch/Hansjakob/Lieber [Hrsg.], Kommentar StPO, 2. Aufl., Zürich/Basel/Genf 2014, Art. 248 StPO N. 24 m.w.H.). Betroffene, welche die Siegelung beantragen, haben indes die prozessuale Obliegenheit, den Entsiegelungsrichter bei der Sichtung und Klassifizierung zu unterstützen; auch haben sie jene Papiere und Dateien zu benennen, die ihrer Ansicht nach der Geheimhaltung unterliegen (BGE 137 IV 189 E. 4.2; vgl. zum Ganzen zuletzt u.a. Beschluss des Bundesstrafge- richts BE.2017.1 vom 26. April 2017, E. 5.1).</w:t>
      </w:r>
    </w:p>
    <w:p>
      <w:r>
        <w:t>Die Gesuchsgegner haben sich dazu im Rahmen des vorliegenden Verfah- rens nicht geäussert. Mit der im Raum stehenden pauschalen Behauptung der Gesuchsgegner, dass sich unter den sichergestellten Papieren und Da- tenträgern private Sachen befänden, kommen sie ihren Mitwirkungsoblie- genheiten im Entsiegelungsverfahren nicht nach, da auch nicht ansatzweise ausgeführt wurde, welche Papiere oder Daten besonders schützenswerte Privatgeheimnisse enthalten sollen.</w:t>
      </w:r>
    </w:p>
    <w:p>
      <w:r>
        <w:rPr>
          <w:b/>
        </w:rPr>
        <w:t>E. 6.3</w:t>
      </w:r>
    </w:p>
    <w:p>
      <w:r>
        <w:t>Amts- oder Berufsgeheimnisse im Sinne des Art. 50 Abs. 2 VStrR, die einer Durchsuchung der Papiere oder Datenträger absolut entgegenstünden, sind</w:t>
      </w:r>
    </w:p>
    <w:p>
      <w:r>
        <w:t>- 10 -</w:t>
      </w:r>
    </w:p>
    <w:p>
      <w:r>
        <w:t>von den Gesuchsgegnern keine angerufen worden und auch nicht ersicht- lich.</w:t>
      </w:r>
    </w:p>
    <w:p>
      <w:r>
        <w:rPr>
          <w:b/>
        </w:rPr>
        <w:t>E. 7</w:t>
      </w:r>
    </w:p>
    <w:p>
      <w:r>
        <w:t>Nach dem Gesagten ist das Entsieglungsgesuch gutzuheissen und es ist die Gesuchstellerin zu ermächtigen, die sichergestellten Papiere und Datenträ- ger zu entsiegeln und zu durchsuchen.</w:t>
      </w:r>
    </w:p>
    <w:p>
      <w:r>
        <w:rPr>
          <w:b/>
        </w:rPr>
        <w:t>E. 8</w:t>
      </w:r>
    </w:p>
    <w:p>
      <w:r>
        <w:t>Gemäss Art. 25 Abs. 4 VStrR bestimmt sich die Kostenpflicht im Beschwer- deverfahren vor der Beschwerdekammer nach Art. 73 StBOG, der seiner- seits auf das Reglement des Bundesstrafgerichts vom 31. August 2010 über die Kosten, Gebühren und Entschädigungen in Bundesstrafverfahren (BStKR; SR 173.713.162) verweist. Da dem BStKR keine Regelung über die Verteilung der Gerichtskosten zu entnehmen ist, ist ergänzend die Regelung des BGG anzuwenden (TPF 2011 25 E. 3). Gemäss Art. 66 Abs. 1 BGG werden die Gerichtskosten in der Regel der unterliegenden Partei auferlegt; wenn die Umstände es rechtfertigen, kann auf die Erhebung der Kosten ver- zichtet werden oder die Kosten können anders verteilt werden.</w:t>
      </w:r>
    </w:p>
    <w:p>
      <w:r>
        <w:t>Bei diesem Ausgang des Verfahrens hat der unterliegende Gesuchsgeg- ner 1 die Gerichtskosten zu tragen. Der Gesuchsgegnerin 2 sind keine Ge- richtskosten aufzuerlegen, nachdem nicht klar ist, ob auch sie Einsprache gegen die Durchsuchung erhob (vgl. supra E. 2.2), und sie sich im vorliegen- den Verfahren nicht beteiligte. Die Gerichtsgebühr ist auf Fr. 2'000.– festzu- setzen (Art. 25 Abs. 4 i.V.m. Art. 73 StBOG und Art. 5 sowie Art. 8 Abs. 1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