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BE.2017.5 vom 30. August 2017</w:t>
      </w:r>
    </w:p>
    <w:p>
      <w:r>
        <w:t>Bundesstrafgericht, 2017-08-30, DE</w:t>
      </w:r>
    </w:p>
    <w:p>
      <w:r>
        <w:rPr>
          <w:b/>
        </w:rPr>
        <w:t xml:space="preserve">Quelle: </w:t>
      </w:r>
      <w:r>
        <w:t>https://mcp.opencaselaw.ch/entscheid/bstger_BE.2017.5</w:t>
      </w:r>
    </w:p>
    <w:p>
      <w:r>
        <w:t>FR: TPF BE.2017.5 du 30 août 2017</w:t>
      </w:r>
    </w:p>
    <w:p>
      <w:r>
        <w:t>IT: TPF BE.2017.5 del 30 agosto 2017</w:t>
      </w:r>
    </w:p>
    <w:p>
      <w:pPr>
        <w:pStyle w:val="Heading2"/>
      </w:pPr>
      <w:r>
        <w:t>Regeste</w:t>
      </w:r>
    </w:p>
    <w:p>
      <w:r>
        <w:t>Entsiegelung (Art. 50 Abs. 3 VStrR). Rückzug des Entsiegelungsgesuchs.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die ESTV mit Eingabe vom 9. Juni 2017 das Entsiegelungsgesuch zurückgezogen hat, ist es als erledigt abzuschreiben.</w:t>
      </w:r>
    </w:p>
    <w:p>
      <w:r>
        <w:rPr>
          <w:b/>
        </w:rPr>
        <w:t>E. 2.1</w:t>
      </w:r>
    </w:p>
    <w:p>
      <w:r>
        <w:t>Beim Entsieglungsverfahren nach Art. 50 Abs. 3 VStrR handelt es sich um ein Verfahren, das durch ein Gericht durchgeführt wird, weshalb für die Kos- ten- und Entschädigungsfolgen die Normen über das gerichtliche Verfahrens anzuwenden sind.</w:t>
      </w:r>
    </w:p>
    <w:p>
      <w:r>
        <w:rPr>
          <w:b/>
        </w:rPr>
        <w:t>E. 2.2</w:t>
      </w:r>
    </w:p>
    <w:p>
      <w:r>
        <w:t>Mit Bezug auf die Kostenfolgen im gerichtlichen Verfahren finden gemäss Art. 97 Abs. 1 VStrR die Art. 417 – 428 StPO Anwendung. Das Ersuchen um Entsiegelung ist zwar kein eigentliches Rechtsmittel, jedoch ein Rechtsbe- helf im engeren Sinne ist, sodass es sich rechtfertigt, die Bestimmungen über das Beschwerdeverfahren anzuwenden (KELLER, in: Donatsch/Hansja- kob/Lieber [Hrsg.], Kommentar zur Schweizerischen Strafprozessordnung, Zürich/Basel/Genf 2014, 2. Aufl., N 2 und N 41 zu Art. 248). Entsprechend richtet sich die Kostentragung beim Entsiegelungsverfahren nach Art. 428 StPO. Nach dieser Bestimmung gilt als unterliegende Partei, wer das Rechtsmittel zurückzieht (Art. 428 Abs. 1 StPO). Somit würde die Ge- suchstellerin grundsätzlich kostenpflichtig. Da der Verwaltung jedoch keine Gerichtskosten aufzuerlegen sind (Art. 66 Abs. 4 BGG; TPF 2011 25 E. 3), ist keine Gerichtsgebühr zu erheben.</w:t>
      </w:r>
    </w:p>
    <w:p>
      <w:r>
        <w:rPr>
          <w:b/>
        </w:rPr>
        <w:t>E. 2.3.1</w:t>
      </w:r>
    </w:p>
    <w:p>
      <w:r>
        <w:t>Für die Entschädigung im gerichtlichen Verfahren verweist Art. 101 Abs. 1 VStrR auf die sinngemässe Anwendung von Art. 99 VStrR. Diese Be- stimmung ist indessen nicht auf die Entschädigung von Prozesskosten aus- gerichtet, sondern regelt die Entschädigung von Untersuchungshaft und Fol- gen anderer Zwangsmassnahmen. Entsprechend wendet die Beschwerde- kammer Art. 68 Abs. 1 und 2 BGG für die Entschädigung von Prozesskosten analog an, wobei Obsiegen und Unterliegen die massgeblichen Kriterien bil- den (vgl. Beschluss der Beschwerdekammer BE.2016.4 vom 17. Feb- ruar 2017, E. 2.3). Damit haben die obsiegenden Gesuchsgegnerinnen An- spruch auf Parteientschädigung.</w:t>
      </w:r>
    </w:p>
    <w:p>
      <w:r>
        <w:rPr>
          <w:b/>
        </w:rPr>
        <w:t>E. 2.3.2</w:t>
      </w:r>
    </w:p>
    <w:p>
      <w:r>
        <w:t>Der Rechtsvertreter der Gesuchsgegnerin 1 hat dem Gericht eine Kosten- note über Fr. 17‘700.-- Honorar, zuzüglich Auslagen von Fr. 531.-- und MwSt. von Fr. 1‘458.50 eingereicht. Er macht einen Aufwand von insgesamt 59 Stunden (Dr. Alexander Filli: 37.6 Std. und MLaw C.: 21.4 Std.) geltend</w:t>
      </w:r>
    </w:p>
    <w:p>
      <w:r>
        <w:t>- 4 -</w:t>
      </w:r>
    </w:p>
    <w:p>
      <w:r>
        <w:t>(act. 32 und 32.1). Er beantragt, vorliegend sei der Stundenansatz in Anbe- tracht der Komplexität des Verfahrens und des erheblichen Zeitdrucks mit Wochenendarbeit auf Fr. 300.-- festzusetzen.</w:t>
      </w:r>
    </w:p>
    <w:p>
      <w:r>
        <w:t>Das Honorar wird nach dem notwendigen und ausgewiesenen Zeitaufwand der Anwältin oder des Anwalts für die Verteidigung bemessen; der Stunden- ansatz beträgt mindestens 200.-- und höchstens 300.-- Franken (Art. 73 Abs. 1 lit. c StBOG; Art. 10 und 12 Abs. 1 BStKR; BGE 142 IV 163 E. 3.1). Das Bundesstrafgericht erachtet für die Bearbeitung durchschnittlicher Ver- fahren, d.h. für Verfahren ohne hohe Komplexität und ohne Mehrsprachig- keit, einen Stundenansatz von Fr. 230.-- als angemessen (Entscheid des Bundesstrafgerichts BK.2011.21 vom 24. April 2012, E. 2.1). Zu entschädi- gen sind nicht alle Ausgaben, die im Strafverfahren entstanden sind, sondern nur die Aufwendungen für eine angemessene Ausübung der Verfahrens- rechte. Der zu entschädigende Aufwand muss in einem vernünftigen Ver- hältnis zur erbrachten Leistung stehen. Nicht zu entschädigen sind nutzlose, überflüssige und verfahrensfremde Aufwendungen (BGE 117 Ia 22 E. 4b S. 25; Urteil des Bundesgerichts 6B_360/2014 vom 30.Oktober 2014, E. 3.3, nicht publ. in: BGE 140 IV 213). Wird eine detaillierte Honorarnote einge- reicht und steht der geltend gemachte Zeitaufwand zum Umfang und zur Schwierigkeit des Falles in einem offensichtlichen Missverhältnis, dann darf nach der bundesgerichtlichen Rechtsprechung in Strafsachen die Entschä- digung pauschal bemessen werden (Urteil des Bundesgerichts 6B_224/2013 vom 27. Januar 2014, E. 2.5 f.).</w:t>
      </w:r>
    </w:p>
    <w:p>
      <w:r>
        <w:t>Zunächst ist festzuhalten, dass der angebliche erhebliche Zeitdruck mit Wo- chenendarbeit es nicht rechtfertigt, vom üblichen Stundenansatz von Fr. 230.-- abzuweichen und den ausserordentlichen Ansatz von Fr. 300.-- anzuwenden. Auch ist nicht ersichtlich, inwiefern das vorliegende Verfahren überdurchschnittlich komplex ist. Bereits aus diesen Überlegungen würde sich das Honorar um rund Fr. 4‘500.-- reduzieren. Festzuhalten ist weiter, dass die Kostennote zwar grundsätzlich detailliert ist, aber diverse Positio- nen enthält, bei welchen nicht ersichtlich ist, wie viel Zeit für welche Tätigkeit im Einzelnen aufgewendet wurde, und insofern nicht überprüft werden kann (beispielsweise die Einträge vom 01.03.2017: „Rechtsstudium zur Zulässig- keit der detaillierten Angabe beschlagnahmter Unterlagen im Gesuch; Vor- bereitung Dossier; Ordner beilegen; Prüfung der zitierten Judikatur“ oder vom 02.03.2017: „Rechtsstudium zum Berufsgeheimnis in Bezug auf aus- ländische Anwälte und deren Schutz nach Art. 46 Abs. 3 VStrR; Rechtsstu- dium; Konferenz mit D. (A. AG); Aktennotiz; Anmerkungen zum Entsiege- lungsgesuch“). Weiter ist darauf hinzuweisen, dass der Zeitaufwand für das Rechtsstudium, mit Ausnahme der Klärung aussergewöhnlicher Rechtsfra-</w:t>
      </w:r>
    </w:p>
    <w:p>
      <w:r>
        <w:t>- 5 -</w:t>
      </w:r>
    </w:p>
    <w:p>
      <w:r>
        <w:t>gen keinen entschädigungspflichtigen Aufwand darstellt (vgl. Urteil des Bun- desgerichts 6B_694/2013 vom 9. September 2013, E. 2). Solche ausserge- wöhnlichen Rechtsfragen sind anhand der Kostennote nicht zu erkennen und werden auch nicht geltend gemacht (vgl. folgende Einträge in der Kos- tennote: 27.02.2017 […]; Rechtsstudium zur Frist des Entsieglungsgesuches nach VStrR; […]; 28.02.2017 […] Überprüfung Literatur und Judikaturanga- ben des Entsiegelungsgesuches; 01.03.2017: Rechtsstudium zur Zulässig- keit der detaillierten Angabe beschlagnahmter Unterlagen im Gesuch; […]; Prüfung der zitierten Judikatur; 02.03.2017: Rechtsstudium zum Berufsge- heimnis in Bezug auf ausländische Anwälte und deren Schutz nach Art. 46 Abs. 3 VStrR; Rechtsstudium […]; 10.03.2017: Rechtsstudium zum Berufs- geheimnis […]; 12.03.2017: Aktenstudium und Rechtsstudium […]; 15.03.2017: Aktenstudium und Rechtsstudium […]; 12.04.2017: […] Rechts- studium […]; 07.07.2017: Rechtsstudium zur Parteientschädigung vor dem Bundesstrafgericht in Beschwerdesachen; 11.07.2017 Rechtsstudium zur Parteientschädigung vor dem Bundesstrafgericht im Entsiegelungsverfah- ren). Ferner sind in der Kostennote offenbar auch Sekretariatsarbeiten ent- halten, wie beispielsweise „Ordner beilegen“ (01.03.2017), „Vollmacht“ (08.03.2017) oder „Zustellung von Gericht; Zustellung an Klient“ (21.06.2017). Solche Sekretariatsarbeiten werden grundsätzlich nicht ent- schädigt, da sie bereits im Stundenansatz des Rechtsvertreters enthalten und nicht separat zu vergüten sind. Insgesamt erscheint der geltend ge- machte Stundenaufwand von 59 Stunden auch in Anbetracht des durchge- führten doppelten Schriftenwechsels als offensichtlich in einem Missverhält- nis zur Schwierigkeit des Falles stehend. Die Entschädigung ist vorliegend pauschal auf Fr. 6‘000.-- (inkl. Auslagen und MwSt.) festzusetzen.</w:t>
      </w:r>
    </w:p>
    <w:p>
      <w:r>
        <w:rPr>
          <w:b/>
        </w:rPr>
        <w:t>E. 2.3.3</w:t>
      </w:r>
    </w:p>
    <w:p>
      <w:r>
        <w:t>Der Rechtsvertreter der Gesuchsgegnerin 2 hat der Beschwerdekammer keine Kostennote eingereicht, weshalb die Parteientschädigung ermessens- weise auf Fr. 4‘000.-- festzulegen ist. Dabei wird insbesondere der Umstand berücksichtigt, dass die Rechtsschriften der Gesuchsgegnerin 2 im vorlie- genden Verfahren über weite Strecken inhaltlich identisch sind mit ihren Rechtsschriften im Verfahren BE.2017.3.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