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BE.2017.4 vom 19. Oktober 2017</w:t>
      </w:r>
    </w:p>
    <w:p>
      <w:r>
        <w:t>Bundesstrafgericht, 2017-10-19, FR</w:t>
      </w:r>
    </w:p>
    <w:p>
      <w:r>
        <w:rPr>
          <w:b/>
        </w:rPr>
        <w:t xml:space="preserve">Quelle: </w:t>
      </w:r>
      <w:r>
        <w:t>https://mcp.opencaselaw.ch/entscheid/bstger_BE.2017.4</w:t>
      </w:r>
    </w:p>
    <w:p>
      <w:r>
        <w:t>FR: TPF BE.2017.4 du 19 octobre 2017</w:t>
      </w:r>
    </w:p>
    <w:p>
      <w:r>
        <w:t>IT: TPF BE.2017.4 del 19 ottobre 2017</w:t>
      </w:r>
    </w:p>
    <w:p>
      <w:pPr>
        <w:pStyle w:val="Heading2"/>
      </w:pPr>
      <w:r>
        <w:t>Regeste</w:t>
      </w:r>
    </w:p>
    <w:p>
      <w:r>
        <w:t>Levée des scellés (art. 50 al. 3 DPA).</w:t>
      </w:r>
    </w:p>
    <w:p>
      <w:pPr>
        <w:pStyle w:val="Heading2"/>
      </w:pPr>
      <w:r>
        <w:t>Erwägungen</w:t>
      </w:r>
    </w:p>
    <w:p>
      <w:r>
        <w:rPr>
          <w:b/>
        </w:rPr>
        <w:t>E. 1</w:t>
      </w:r>
    </w:p>
    <w:p>
      <w:r>
        <w:t>L'art. 50 DPA dispose que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2.1</w:t>
      </w:r>
    </w:p>
    <w:p>
      <w:r>
        <w:t>Le litige porte sur le tri des documents figurant sur les supports informatiques saisis par l'AFC, respectivement sur l'identification de ceux qui comprendraient des secrets au sens de l'art. 46 al. 2 DPA. Or, si l'autorité compétente effectue de telles opérations en accédant directement aux données numériques litigieuses, elle risque d'en altérer le contenu, respectivement d'en être soupçonnée. C'est pourquoi il est indispensable, dans toute procédure portant sur la levée de scellés apposés sur des supports informatiques, d'effectuer d'emblée une copie forensique ("copie- miroir") de ceux-ci, qui sera seule utilisée pour prendre connaissance des documents saisis.</w:t>
      </w:r>
    </w:p>
    <w:p>
      <w:r>
        <w:t>En l'espèce, l'AFC n'a pas accompli cette tâche, qui dès lors incomberait en principe à la Cour de céans.</w:t>
      </w:r>
    </w:p>
    <w:p>
      <w:r>
        <w:rPr>
          <w:b/>
        </w:rPr>
        <w:t>E. 2.2</w:t>
      </w:r>
    </w:p>
    <w:p>
      <w:r>
        <w:t>L'art. 20 al. 1 DPA dispose que l'administration est compétente pour procéder à l’enquête. Il lui appartient donc également de prendre toutes les mesures de sauvegarde de la preuve, en particulier la copie forensique (cf. supra consid. 2.1). C'est le lieu de préciser que dite copie ne permet pas de consulter les documents informatisés et n'est donc pas en contradiction avec le sens de la procédure de mise sous scellés. D'éventuels griefs relatifs à l'établissement de la copie forensique pourront être soulevés dans le cadre de la procédure de levée de l'opposition (cf. arrêt du Tribunal fédéral 1B_320/2012 du 14 décembre 2013, consid. 2.3; TPF 2011 34, consid. 1.3; KELLER, in: Donatsch/Hansjakob/Lieber [édit.], Kommentar zur Schweizerischen Strafprozessordnung, Zurich/Bâle/Genève 2014, 2e éd., n 12 ad art. 248; THORMANN/BRECHBÜHL, Basler Kommentar, 2e éd., Bâle</w:t>
      </w:r>
    </w:p>
    <w:p>
      <w:r>
        <w:t>- 4 -</w:t>
      </w:r>
    </w:p>
    <w:p>
      <w:r>
        <w:t>2014, n° 2 ad art. 248 CPP, n° 11 ad art. 393 CPP). Une nouvelle requête pourra être présentée à la Cour de céans avec la transmission de la copie forensique afin de permettre, le cas échéant, la levée des scellés.</w:t>
      </w:r>
    </w:p>
    <w:p>
      <w:r>
        <w:rPr>
          <w:b/>
        </w:rPr>
        <w:t>E. 3</w:t>
      </w:r>
    </w:p>
    <w:p>
      <w:r>
        <w:t>Il s'ensuit que, faute pour l'AFC d'avoir procédé à une copie forensique du matériel informatique saisi, la demande est irrecevable.</w:t>
      </w:r>
    </w:p>
    <w:p>
      <w:r>
        <w:rPr>
          <w:b/>
        </w:rPr>
        <w:t>E. 4.1</w:t>
      </w:r>
    </w:p>
    <w:p>
      <w:r>
        <w:t>Selon l’art. 66 al. 1, 1re phrase, LTF, en règle générale, les frais judiciaires sont mis à la charge de la partie qui succombe. 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w:t>
      </w:r>
    </w:p>
    <w:p>
      <w:r>
        <w:rPr>
          <w:b/>
        </w:rPr>
        <w:t>E. 4.2</w:t>
      </w:r>
    </w:p>
    <w:p>
      <w:r>
        <w:t>A teneur de l'art. 68 al. 1 LTF, applicable par analogie, le tribunal décide, en statuant sur la contestation elle-même, si et dans quelle mesure les frais de la partie qui obtient gain de cause seront supportés par celle qui succombe. Les opposants, pourvus d'un avocat, ont droit à une indemnité équitable pour les frais indispensables qui leur ont été occasionnés par le litige. Leur mandataire n'a pas déposé de mémoire d'honoraires. Dans ce cas, le tribunal fixe ceux-ci selon sa propre appréciation (art. 12 al. 2 du règlement du Tribunal pénal fédéral sur les frais, émoluments, dépens et indemnités de la procédure pénale fédérale [RFPPF; RS 173.713.162]). En l'espèce, une indemnité de CHF 1'500.-- paraît justifiée; elle sera acquittée par l'AFC.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