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BE.2017.16 vom 25. Mai 2018</w:t>
      </w:r>
    </w:p>
    <w:p>
      <w:r>
        <w:t>Bundesstrafgericht, 2018-05-25, FR</w:t>
      </w:r>
    </w:p>
    <w:p>
      <w:r>
        <w:rPr>
          <w:b/>
        </w:rPr>
        <w:t xml:space="preserve">Quelle: </w:t>
      </w:r>
      <w:r>
        <w:t>https://mcp.opencaselaw.ch/entscheid/bstger_BE.2017.16</w:t>
      </w:r>
    </w:p>
    <w:p>
      <w:r>
        <w:t>FR: TPF BE.2017.16 du 25 mai 2018</w:t>
      </w:r>
    </w:p>
    <w:p>
      <w:r>
        <w:t>IT: TPF BE.2017.16 del 25 maggio 2018</w:t>
      </w:r>
    </w:p>
    <w:p>
      <w:pPr>
        <w:pStyle w:val="Heading2"/>
      </w:pPr>
      <w:r>
        <w:t>Regeste</w:t>
      </w:r>
    </w:p>
    <w:p>
      <w:r>
        <w:t>Levée des scellés (art. 50 al. 3 DPA).</w:t>
      </w:r>
    </w:p>
    <w:p>
      <w:pPr>
        <w:pStyle w:val="Heading2"/>
      </w:pPr>
      <w:r>
        <w:t>Erwägungen</w:t>
      </w:r>
    </w:p>
    <w:p>
      <w:r>
        <w:rPr>
          <w:b/>
        </w:rPr>
        <w:t>E. 1</w:t>
      </w:r>
    </w:p>
    <w:p>
      <w:r>
        <w:t>À teneur des art. 25 al. 1 et 50 al. 3 de la loi fédérale sur le droit pénal administratif (DPA; RS 313.0) et de l’art. 37 al. 2 let. b de la loi fédérale sur l’organisation des autorités pénales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 et l’a fait en conformité avec le principe de célérité.</w:t>
      </w:r>
    </w:p>
    <w:p>
      <w:r>
        <w:rPr>
          <w:b/>
        </w:rPr>
        <w:t>E. 2</w:t>
      </w:r>
    </w:p>
    <w:p>
      <w:r>
        <w:t>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187 LIFD). Selon l’art. 191 al. 1, 1re phrase, LIFD, la procédure dirigée contre les auteurs, complices et instigateurs est réglée d’après les dispositions des art. 19 à 50 DPA. Au nombre des mesures prévues par la DPA figure notamment la perquisition visant des papiers (art. 50 DPA).</w:t>
      </w:r>
    </w:p>
    <w:p>
      <w:r>
        <w:rPr>
          <w:b/>
        </w:rPr>
        <w:t>E. 2.1</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w:t>
      </w:r>
    </w:p>
    <w:p>
      <w:r>
        <w:t>- 4 -</w:t>
      </w:r>
    </w:p>
    <w:p>
      <w:r>
        <w:t>perquisition, les papiers sont mis sous scellés et déposés en lieu sûr; la Cour des plaintes du Tribunal pénal fédéral statue sur l’admissibilité de la perquisition (al. 3).</w:t>
      </w:r>
    </w:p>
    <w:p>
      <w:r>
        <w:rPr>
          <w:b/>
        </w:rPr>
        <w:t>E. 2.2</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arrêts du Tribunal fédéral 1B_167/2015 du 30 juin 2015 consid. 2.1; 1B_671/2012 du 8 mai 2013 consid. 3.7.1 et les références citées).</w:t>
      </w:r>
    </w:p>
    <w:p>
      <w:r>
        <w:rPr>
          <w:b/>
        </w:rPr>
        <w:t>E. 2.3</w:t>
      </w:r>
    </w:p>
    <w:p>
      <w:r>
        <w:t>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rPr>
          <w:b/>
        </w:rPr>
        <w:t>E. 2.4</w:t>
      </w:r>
    </w:p>
    <w:p>
      <w:r>
        <w:t>La saisie de document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2.5</w:t>
      </w:r>
    </w:p>
    <w:p>
      <w:r>
        <w:t>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(arrêt du Tribunal fédéral 1B.354/2009 du 2 mars 2010 consid. 3.2). Il est inévitable que la perquisition visant des papiers porte</w:t>
      </w:r>
    </w:p>
    <w:p>
      <w:r>
        <w:t>- 5 -</w:t>
      </w:r>
    </w:p>
    <w:p>
      <w:r>
        <w:t>également sur des documents qui ne présentent aucun intérêt pour l’enquête (ATF 130 II 193; ATF 108 IV 75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 du Tribunal fédéral 1B_167/2015 précité consid. 2.1). Ce d’autant plus que, dans les premiers temps de l’enquête, des soupçons même encore peu précis peuvent être considérés comme étant suffisants (décision du Tribunal pénal fédéral BE.2011.5 du 22 mai 2012 consid. 3.2).</w:t>
      </w:r>
    </w:p>
    <w:p>
      <w:r>
        <w:rPr>
          <w:b/>
        </w:rPr>
        <w:t>E. 2.6</w:t>
      </w:r>
    </w:p>
    <w:p>
      <w:r>
        <w:t>En l’espèce et comme évoqué supra, l’AFC soupçonne B. et C. de s’être rendus coupables de soustractions consommées (art. 175 LIFD) et de tentatives de soustraction (art. 176 LIFD), ainsi que d’usage de faux (art. 186 LIFD), entre 2007 et 2013, respectivement 2015. Dans sa requête, l’AFC expose notamment que B. aurait commis des soustractions d’impôts consommées (art. 175 LIFD) pour les périodes fiscales 2007 et 2008, respectivement aurait tenté de commettre des soustractions d’impôts (art. 176 LIFD) pour les années 2009 à 2015, d’une part, en raison du fait que les comptes d’exploitation de son activité indépendante déposés à l’appui de ses déclarations d’impôt présenteraient un résultat inférieur à la réalité et, d’autre part, en raison du fait que des revenus immobiliers provenant de ses immeubles ainsi que des revenus mobiliers n’auraient pas été déclarés dans leur intégralité et que des intérêts passifs auraient été portés en déduction de ses revenus de manière injustifiée. C. aurait quant à elle commis des soustractions d’impôts consommées (art. 175 LIFD), durant les périodes fiscales 2007 et 2008, respectivement aurait tenté de commettre des soustractions d’impôt (art. 176 LIFD) pour les années 2009 à 2015, en raison du fait que des revenus immobiliers provenant de ses immeubles n’auraient pas été déclarés dans leur intégralité et que des intérêts passifs auraient été portés en déduction de ses revenus de manière injustifiée. En particulier, B. et C. sont soupçonnés d’avoir mis en place un système de sous-location d’appartements dont ils sont propriétaires. Pour l’année 2013 par exemple, plus du tiers des appartements leur appartenant étaient loués à eux-mêmes ou à une société proche, la société D. Inc. Cela ressort d’états locatifs établis notamment par l’opposante. Les loyers indiqués dans les états locatifs pour ces appartements sont inférieurs aux loyers pratiqués pour des appartements identiques situés dans les mêmes immeubles loués à des tiers. L’AFC considère dès lors qu’il est nécessaire de recueillir toutes informations en relation avec les immeubles appartenant aux époux B. et C., gérés par l’opposante (in act. 1, p. 3 s.).</w:t>
      </w:r>
    </w:p>
    <w:p>
      <w:r>
        <w:t>- 6 -</w:t>
      </w:r>
    </w:p>
    <w:p>
      <w:r>
        <w:rPr>
          <w:b/>
        </w:rPr>
        <w:t>E. 2.7</w:t>
      </w:r>
    </w:p>
    <w:p>
      <w:r>
        <w:t>Au vu de ce qui précède, force est de constater que l’existence de soupçons fondés d’infractions fiscales apparaît réalisée en l’espèce, étant rappelé que, dans le cadre de la présente procédure – laquelle ne porte que sur la levée des scellés – la Cour de céans n’a pas à se prononcer sur la réalisation des infractions reprochées au prévenu, mais se limite à statuer sur l’admissibilité de la perquisition. En l’espèce, l’AFC fournit des explications aussi détaillées qu’elle le peut, selon les informations en sa possession et dans le respect du secret fiscal. À ce stade de la procédure, ces soupçons paraissent précis et objectivement fondés. Il existe donc des indices suffisants d’infractions fiscales.</w:t>
      </w:r>
    </w:p>
    <w:p>
      <w:r>
        <w:rPr>
          <w:b/>
        </w:rPr>
        <w:t>E. 2.8</w:t>
      </w:r>
    </w:p>
    <w:p>
      <w:r>
        <w:t>Par ailleurs, il apparaît que la condition de l’importance présumée des papiers et autres supports de données perquisitionnés pour l’enquête pénale fiscale en cours est également réalisée dans le cas d’espèce. L’AFC a en effet circonscrit l’objet de sa perquisition de façon précise et concentré ses recherches sur des pièces qui peuvent paraître nécessaires à l’établissement des faits, à la preuve d’infractions fiscales de grande envergure et, cas échéant, à la détermination de l’étendue et du montant total des soustractions opérées. Elle a en effet utilisé des mots-clefs, soit le nom des inculpés ainsi que l’adresse des immeubles locatifs dont ils sont propriétaire, pour sélectionner les données électroniques récoltées sur le serveur de l’opposante et inventoriées (…)001. Quant aux éléments inventoriés (…)002, ils concernent le mandat de gestion et la gestion des immeubles appartenant aux époux B. et C. (act. 1.5). Dès lors, il appert que parmi les données saisies se trouvent des informations pertinentes pour l’enquête.</w:t>
      </w:r>
    </w:p>
    <w:p>
      <w:r>
        <w:rPr>
          <w:b/>
        </w:rPr>
        <w:t>E. 2.9</w:t>
      </w:r>
    </w:p>
    <w:p>
      <w:r>
        <w:t>En outre, en procédant de la sorte, les enquêteurs se sont conformés au principe de la proportionnalité et se sont limités aux documents ayant trait aux inculpés en relation avec les infractions sous enquête.</w:t>
      </w:r>
    </w:p>
    <w:p>
      <w:r>
        <w:rPr>
          <w:b/>
        </w:rPr>
        <w:t>E. 3</w:t>
      </w:r>
    </w:p>
    <w:p>
      <w:r>
        <w:t>A. SA, dans ses observations à l’AFC du 18 août 2017, fait valoir son secret professionnel à l’appui de son opposition (act. 1.2).</w:t>
      </w:r>
    </w:p>
    <w:p>
      <w:r>
        <w:rPr>
          <w:b/>
        </w:rPr>
        <w:t>E. 3.1</w:t>
      </w:r>
    </w:p>
    <w:p>
      <w:r>
        <w:t>Or comme le relève à juste titre l’AFC, la perquisition des données en question est le seul moyen apte à obtenir les informations nécessaires à l'enquête. En l’occurrence, la levée des scellées ne porte ici pas une atteinte disproportionnée à la sphère privée de l’opposante, dans la mesure où, en l'espèce, l'intérêt public de l'instruction l'emporte, compte tenu des soupçons d'infractions énoncés ci-dessus et du fait que celle-ci ne peut de surcroît se prévaloir d'aucun secret protégé au sens de l'art. 50 al. 2 DPA. La perquisition est dès lors conforme au principe de la proportionnalité.</w:t>
      </w:r>
    </w:p>
    <w:p>
      <w:r>
        <w:t>- 7 -</w:t>
      </w:r>
    </w:p>
    <w:p>
      <w:r>
        <w:rPr>
          <w:b/>
        </w:rPr>
        <w:t>E. 3.2</w:t>
      </w:r>
    </w:p>
    <w:p>
      <w:r>
        <w:t>Au vu de ce qui précède, la demande de levée des scellés est admise. L’AFC est ainsi autorisée à lever les scellés sur l’ensemble des documents, objets et autres supports de données saisis lors de la perquisition opérée le 22 juin 2017 dans les locaux de l’opposante.</w:t>
      </w:r>
    </w:p>
    <w:p>
      <w:r>
        <w:rPr>
          <w:b/>
        </w:rPr>
        <w:t>E. 3.3</w:t>
      </w:r>
    </w:p>
    <w:p>
      <w:r>
        <w:t>L’opposante, qui succombe, supportera un émolument, lequel est fixé à CHF 2’000.-- (art. 73 LOAP applicable par renvoi de l’art. 25 al. 4 DPA; art. 5 et 8 du règlement du Tribunal pénal fédéral du 31 août 2010 sur les frais, émoluments, dépens et indemnités de la procédure pénale fédérale; RS 173.731.162).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