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BE.2017.15 vom 21. November 2017</w:t>
      </w:r>
    </w:p>
    <w:p>
      <w:r>
        <w:t>Bundesstrafgericht, 2017-11-21, DE</w:t>
      </w:r>
    </w:p>
    <w:p>
      <w:r>
        <w:rPr>
          <w:b/>
        </w:rPr>
        <w:t xml:space="preserve">Quelle: </w:t>
      </w:r>
      <w:r>
        <w:t>https://mcp.opencaselaw.ch/entscheid/bstger_BE.2017.15</w:t>
      </w:r>
    </w:p>
    <w:p>
      <w:r>
        <w:t>FR: TPF BE.2017.15 du 21 novembre 2017</w:t>
      </w:r>
    </w:p>
    <w:p>
      <w:r>
        <w:t>IT: TPF BE.2017.15 del 21 novembre 2017</w:t>
      </w:r>
    </w:p>
    <w:p>
      <w:pPr>
        <w:pStyle w:val="Heading2"/>
      </w:pPr>
      <w:r>
        <w:t>Regeste</w:t>
      </w:r>
    </w:p>
    <w:p>
      <w:r>
        <w:t>Entsiegelung (Art. 50 Abs. 3 VStrR).</w:t>
      </w:r>
    </w:p>
    <w:p>
      <w:pPr>
        <w:pStyle w:val="Heading2"/>
      </w:pPr>
      <w:r>
        <w:t>Erwägungen</w:t>
      </w:r>
    </w:p>
    <w:p>
      <w:r>
        <w:rPr>
          <w:b/>
        </w:rPr>
        <w:t>E. 1</w:t>
      </w:r>
    </w:p>
    <w:p>
      <w:r>
        <w:t>Ist die Verfolgung und Beurteilung von Widerhandlungen einer Verwaltungs- behörde des Bundes übertragen, so findet das VStrR Anwendung (Art. 1 VStrR). Gemäss Art. 103 Abs. 1 MWSTG ist auf die Strafverfolgung grund- sätzlich das VStrR anwendbar. Bei der Inlandsteuer und bei der Bezugsteuer obliegt die Strafverfolgung der ESTV (Art. 103 Abs. 2 MWSTG). Vorliegend richtet sich das Verfahren folglich nach dem VStrR.</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w:t>
      </w:r>
    </w:p>
    <w:p>
      <w:r>
        <w:t>Der Streitgegenstand des vorliegenden Verfahrens ist nicht frei bestimmbar. Im Entsiegelungsverfahren wird geprüft, ob die Geheimnisschutzinteressen, welche vom Inhaber der versiegelten Aufzeichnungen und Gegenstände an- gerufen werden, einer Durchsuchung und weiteren strafprozessualen Ver- wendung durch die Strafverfolgungsbehörde entgegenstehen (vgl. zuletzt u. a. Beschluss des Bundesstrafgerichts BE.2016.3 vom 19. Dezem- ber 2016, E. 1.4 m.w.H.).</w:t>
      </w:r>
    </w:p>
    <w:p>
      <w:r>
        <w:t>Soweit der Gesuchsgegner beantragt, das dem Entsiegelungsgesuch zu- grundeliegende Verwaltungsstrafverfahren sei einzustellen, ist darauf nicht einzutreten.</w:t>
      </w:r>
    </w:p>
    <w:p>
      <w:r>
        <w:t>Soweit sich der Gesuchsgegner in der Gesuchsduplik unter Bedingungen mit der Entsiegelung einverstanden erklärt, mithin unter Bedingungen den Rückzug seiner Einsprache erklärt, ist diese Erklärung als bedingungsfeind- lich unwirksam (vgl. HAFNER/FISCHER, Basler Kommentar, 2. Aufl., Ba- sel 2014, Art. 109 StPO N. 10).</w:t>
      </w:r>
    </w:p>
    <w:p>
      <w:r>
        <w:t>- 5 -</w:t>
      </w:r>
    </w:p>
    <w:p>
      <w:r>
        <w:rPr>
          <w:b/>
        </w:rPr>
        <w:t>E. 3.1</w:t>
      </w:r>
    </w:p>
    <w:p>
      <w:r>
        <w:t>Papiere (respektive Datenträger; vgl. hierzu BGE 108 IV 76 E. 1; Urteil des Bundesgerichts 1B_243/2016 vom 6. Oktober 2016, E. 3.4) sind mit grösster Schonung der Privatgeheimnisse zu durchsuchen; insbesondere sollen Pa- piere nur dann durchsucht werden, wenn anzunehmen ist, dass sich Schrif- ten darunter befinden, die für die Untersuchung von Bedeutung sind (Art. 50 Abs. 1 VStrR). Bei der Durchsuchung sind das Amtsgeheimnis und die Be- rufsgeheimnisse zu wahren (Art. 50 Abs. 2 VStrR). Dem Inhaber der Papiere ist wenn immer möglich Gelegenheit zu geben, sich vor der Durchsuchung über ihren Inhalt auszusprechen. Erhebt er gegen die Durchsuchung Ein- sprache, so werden die Papiere versiegelt und verwahrt, und es entscheidet die Beschwerdekammer des Bundesstrafgerichts über die Zulässigkeit der Durchsuchung (Art. 50 Abs. 3 i.V.m. Art. 25 Abs. 1 VStrR, Art. 37 Abs. 2 lit. b StBOG). Zur Einsprache ist nur der jeweilige Inhaber der Papiere legitimiert (TPF 2016 55 E. 2.3). Dieser hat nicht nur die Papiere zu benennen, die seiner Ansicht nach der Siegelung und Geheimhaltung im Sinne von Art. 50 Abs. 3 VStrR unterliegen, sondern – im Rahmen des Zumutbaren – auch die Geheimnisse glaubhaft zu machen, die seiner Ansicht nach dem öffentlichen Interesse an der Aufklärung und Verfolgung von mutmasslichen Straftaten vorgehen. Bei der prozessualen Substanziierungsobliegenheit von Inhabern, welche die Siegelung verlangen, geht es nicht darum, schutzwürdige Ge- heimnisse inhaltlich preiszugeben, sondern lediglich zu umschreiben, wel- cher Art die angeblich tangierten Geheimnisinteressen sind und inwiefern sie so wichtig seien, dass sie das Strafverfolgungsinteresse überwiegen (vgl. Art. 264 Abs. 1 lit. b StPO). Eine solche minimale Substanziierungsobliegen- heit führt nicht zur Aushöhlung des Geheimnisschutzes. Sie dient vielmehr der Vermeidung, dass das Entsiegelungsverfahren rechtsmissbräuchlich oder trölerisch in Anspruch genommen werden könnte (Urteil des Bundes- gerichts 1B_637/2012 vom 8. Mai 2013, E. 3.6, nicht publiziert in BGE 139 IV 246; vgl. Beschluss des Bundesstrafgerichts BE.2015.11 vom 20. Okto- ber 2016, E. 3.4; kritisch dazu KELLER, in: Donatsch/Hansjakob/Lieber [Hrsg.], Kommentar zur Schweizerischen Strafprozessordnung [StPO], 2. Aufl., Zürich/Basel/Genf 2014, Art. 248 StPO N. 43a, wonach diese "Pflicht" des Beschuldigten zum Nemo-tenetur-Grundsatz im Widerspruch stehe und zugunsten dieses durch EMRK und BV gestützten Prinzips aufzu- lösen sei; differenzierter THORMANN/BRECHBÜHL, Basler Kommentar, 2. Aufl., Basel 2014, Art. 248 StPO N. 35 f.).</w:t>
      </w:r>
    </w:p>
    <w:p>
      <w:r>
        <w:rPr>
          <w:b/>
        </w:rPr>
        <w:t>E. 3.2</w:t>
      </w:r>
    </w:p>
    <w:p>
      <w:r>
        <w:t>Nachdem weder in der Faxeingabe vom 5. Juli 2017 an die ESTV (act. 1.5), noch in der Gesuchsantwort vom 31. Juli 2017 (act. 3), noch in der Eingabe vom 31. Juli 2017 betreffend "Klarstellung" an die ESTV (act. 3.5), noch in</w:t>
      </w:r>
    </w:p>
    <w:p>
      <w:r>
        <w:t>- 6 -</w:t>
      </w:r>
    </w:p>
    <w:p>
      <w:r>
        <w:t>der Gesuchsduplik vom 11. August 2017 (act. 7) relevante Geheimnisse gel- tend, geschweige denn glaubhaft gemacht werden, die nach Ansicht des Ge- suchsgegners dem öffentlichen Interesse an Aufklärung und Verfolgung mut- masslicher Straftaten vorgehen, ist jedenfalls im vorliegenden Entsiege- lungsverfahren der Gesuchsgegner seiner prozessualen Obliegenheit nicht nachgekommen. Nach Darstellung des Gesuchsgegners habe der Untersu- chungsleiter zwar zunächst den Computer des Gesuchsgegners sicherstel- len wollen, worauf dieser sinngemäss Privat- und Geschäftsgeheimnisse geltend gemacht habe (act. 3; act. 3.5; act. 7). Unstreitig ist in der Folge aber nicht der Computer als solcher, sondern sind nur Daten betreffend die D. GmbH von diesem Computer auf einen Datenträger kopiert und sicherge- stellt worden (act. 1.3; act. 1.4; act. 3; act. 5 S. 4; act. 7). Weil das Gesuch damit ohne Weiterungen gutzuheissen ist, kann offen gelassen werden, ob überhaupt rechtsgültig Einsprache erhoben wurde.</w:t>
      </w:r>
    </w:p>
    <w:p>
      <w:r>
        <w:t>Der Vollständigkeit halber – zumal dem Gesuchsgegner im Beschluss des Bundesstrafgerichts BV.2017.35 vom 20. Juli 2017, E. 2.2, eine Prüfung der Rechtmässigkeit der Hausdurchsuchung in Aussicht gestellt wurde – sei im Folgenden zu zeigen, weshalb das Gesuch auch bei weiterer Prüfung gut- zuheissen gewesen wäre.</w:t>
      </w:r>
    </w:p>
    <w:p>
      <w:r>
        <w:rPr>
          <w:b/>
        </w:rPr>
        <w:t>E. 4</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vgl. zuletzt u.a. Beschluss des Bundesstrafgerichts BE.2017.2 vom 4. September 2017, E. 3).</w:t>
      </w:r>
    </w:p>
    <w:p>
      <w:r>
        <w:rPr>
          <w:b/>
        </w:rPr>
        <w:t>E. 5.1</w:t>
      </w:r>
    </w:p>
    <w:p>
      <w:r>
        <w:t>Nach Art. 46 Abs. 1 VStrR können unter anderem Gegenstände, die als Be- weismittel von Bedeutung sein können (lit. a), beschlagnahmt werden. Ge- mäss Art. 48 Abs. 1 VStrR dürfen Wohnungen und andere Räume unter an- derem dann durchsucht werden, wenn es wahrscheinlich ist, dass sich Ge- genstände oder Vermögenswerte, die der Beschlagnahme unterliegen, oder Spuren der Widerhandlung darin befinden. Die Durchsuchung erfolgt auf- grund eines schriftlichen Befehls des Direktors oder Chefs der beteiligten Verwaltung (Art. 48 Abs. 3 VStrR). Ein solches Vorgehen ist auch zulässig im Rahmen von Fiskaluntersuchungen (vgl. etwa BGE 137 IV 145) unter Ein-</w:t>
      </w:r>
    </w:p>
    <w:p>
      <w:r>
        <w:t>- 7 -</w:t>
      </w:r>
    </w:p>
    <w:p>
      <w:r>
        <w:t>schluss von solchen im Zusammenhang mit der Einziehung der Mehrwert- steuer (vgl. Urteil des Bundesgerichts 1B_414/2013 vom 29. April 2014). Die Durchsuchung hat grundsätzlich im Beisein der berechtigten Person zu er- folgen (Art. 49 Abs. 2 VStrR). Es ist mit der dem Betroffenen und seinem Eigentum gebührenden Schonung zu verfahren (Art. 45 Abs. 1 VStrR; vgl. zum Ganzen Urteil des Bundesgerichts 1B_243/2016 vom 6. Oktober 2016, E. 3.1 und E. 3.2).</w:t>
      </w:r>
    </w:p>
    <w:p>
      <w:r>
        <w:t>Von einer Durchsuchung von Papieren wird gesprochen, wenn Schriftstücke oder Datenträger im Hinblick auf ihren Inhalt oder ihre Beschaffenheit durch- gelesen bzw. besichtigt werden, um ihre Beweiseignung festzustellen, sie allenfalls daran anschliessend zu beschlagnahmen und zu den Akten zu nehmen (vgl. BGE 143 IV 270 E. 4.4). Sie ist nur zulässig, wenn ein hinrei- chender Tatverdacht besteht, anzunehmen ist, dass sich unter den Papieren Schriften befinden, die für die Untersuchung von Bedeutung sind (Art. 50 Abs. 1 VStrR), und der Grundsatz der Verhältnismässigkeit respektiert wird (TPF 2007 96 E. 2; vgl. zuletzt u.a. Beschluss des Bundesstrafgerichts BE.2017.7 vom 1. Juni 2017, E. 3).</w:t>
      </w:r>
    </w:p>
    <w:p>
      <w:r>
        <w:rPr>
          <w:b/>
        </w:rPr>
        <w:t>E. 5.2.1</w:t>
      </w:r>
    </w:p>
    <w:p>
      <w:r>
        <w:t>Vorab ist zu prüfen, ob ein hinreichender Tatverdacht für eine die Durchsu- chung rechtfertigende Straftat besteht. Dazu bedarf es zweier Elemente: Ers- tens muss ein Sachverhalt ausreichend detailliert umschrieben werden, da- mit eine Subsumtion unter einen oder allenfalls auch alternativ unter mehrere Tatbestände des Strafrechts überhaupt nachvollziehbar vorgenommen wer- den kann. Zweitens müssen ausreichende Beweismittel oder Indizien ange- geben und vorgelegt werden, die diesen Sachverhalt stützen. In Abgrenzung zum dringenden setzt dabei der hinreichende Tatverdacht gerade nicht vo- raus, dass Beweise oder Indizien bereits für eine erhebliche oder hohe Wahr- scheinlichkeit einer Verurteilung sprechen (vgl. zum Ganzen ausführlich den Entscheid des Bundesstrafgerichts BE.2006.7 vom 20. Februar 2007, E. 3.1; zuletzt u.a. Beschluss des Bundesstrafgerichts BE.2017.2 vom 4. Septem- ber 2017, E. 4.1; je m.w.H.). Im Gegensatz zum erkennenden Sachrichter hat die Beschwerdekammer bei der Überprüfung des hinreichenden Tatver- dachtes im strafprozessualen Zwangsmassnahmenverfahren keine erschöp- fende Abwägung aller strafrechtlich in Betracht fallenden Tat- und Rechts- fragen vorzunehmen (Beschluss des Bundesstrafgerichts BE.2013.16 vom 27. Februar 2014, E. 3.1; vgl. hierzu ausführlich Urteil des Bundesgerichts 1B_243/2016 vom 6. Oktober 2016, E. 3.5 und E. 3.6 m.w.H.).</w:t>
      </w:r>
    </w:p>
    <w:p>
      <w:r>
        <w:rPr>
          <w:b/>
        </w:rPr>
        <w:t>E. 5.2.2</w:t>
      </w:r>
    </w:p>
    <w:p>
      <w:r>
        <w:t>Die Gesuchstellerin ermittelt wegen Verdachts der Steuerhinterziehung (Art. 96 Abs. 1 MWSTG), evtl. des Abgabebetrugs (Art. 14 Abs. 2 VStrR) und</w:t>
      </w:r>
    </w:p>
    <w:p>
      <w:r>
        <w:t>- 8 -</w:t>
      </w:r>
    </w:p>
    <w:p>
      <w:r>
        <w:t>der Verletzung von Verfahrenspflichten (Art. 98 MWSTG). Den Sachverhalt legt die Gesuchstellerin in ihrem Gesuch kurz zusammengefasst wie folgt dar (act. 1 S. 2):</w:t>
      </w:r>
    </w:p>
    <w:p>
      <w:r>
        <w:t>Aufgrund der Mehrwertsteuer-Kontrolle bei der E. AG seien vorsteuerab- zugsberechtigte Aufwände in Form von Altmetalleinkäufen zu Gunsten der D. GmbH in den Jahren 2009 bis 2012 in der Höhe von Fr. 6'668'741.– exkl. MwSt. ermittelt worden. Der Vergleich der durch die D. GmbH gegenüber der ESTV deklarierten Einnahmen im gleichen Zeitraum habe Diskrepanzen im Umfang von Fr. 4'473'198.– ergeben, dies unter der Annahme, dass die E. AG die einzige Abnehmerin der D. GmbH sei. Aufgrund der erheblichen Diskrepanzen zwischen den ermittelten Einnahmen der D. GmbH und den eingereichten Mehrwertsteuer-Abrechnungen sei eine Mehrwertsteuer-Kon- trolle, Kontrollperiode 2009 bis 2013, bei der D. GmbH durchgeführt worden. Unter Berücksichtigung des strafrechtlichen Charakters des Sachverhalts, prima vista Nachbelastung von über Fr. 200'000.–, als auch der vorgelegten Geschäftsunterlagen und Unklarheit über einen eventuellen zusätzlichen Fahrzeughandel habe die Kontrolle vor Ort abgebrochen werden müssen.</w:t>
      </w:r>
    </w:p>
    <w:p>
      <w:r>
        <w:t>Im dem Entsiegelungsgesuch beigelegten Antrag auf Ausstellung von Durchsuchungsbefehlen vom 29. Juni 2017 (act. 1.1) wird festgehalten, ge- stützt auf die bis anhin vorhandenen Unterlagen, insbesondere edierte Bank- unterlagen, welche aber aufgrund des höchst bargeldintensiven Betriebs kaum Aufschlüsse gebracht hätten, hätten provisorisch die mehrwertsteuer- lichen Faktoren für die Steuerperioden 2009 bis 2015 für die D. GmbH unter Anwendung der Saldosteuersatzmethode, mangels weiterer Unterlagen, er- mittelt werden können. Die approximative Mehrwertsteuermehrschuld der D. GmbH könne demnach mit rund Fr. 260'000.– beziffert werden.</w:t>
      </w:r>
    </w:p>
    <w:p>
      <w:r>
        <w:rPr>
          <w:b/>
        </w:rPr>
        <w:t>E. 5.2.3</w:t>
      </w:r>
    </w:p>
    <w:p>
      <w:r>
        <w:t>Nach Art. 96 Abs. 1 MWSTG macht sich u.a. strafbar, wer vorsätzlich oder fahrlässig die Steuerforderung zulasten des Staates verkürzt, indem er in einer Steuerperiode nicht sämtliche Einnahmen deklariert. Nach Art. 14 Abs. 2 VStrR macht sich u.a. strafbar, wer durch sein arglistiges Verhalten bewirkt, dass dem Gemeinwesen unrechtmässig und in einem erheblichen Betrag eine Abgabe vorenthalten wird. Nach Art. 98 MWSTG macht sich u.a. strafbar, wer vorsätzlich oder fahrlässig Geschäftsbücher, Belege, Ge- schäftspapiere und sonstige Aufzeichnungen nicht ordnungsgemäss führt, ausfertigt, aufbewahrt oder vorlegt.</w:t>
      </w:r>
    </w:p>
    <w:p>
      <w:r>
        <w:rPr>
          <w:b/>
        </w:rPr>
        <w:t>E. 5.2.4</w:t>
      </w:r>
    </w:p>
    <w:p>
      <w:r>
        <w:t>Die im Entsiegelungsgesuch und den dazugehörenden Beilagen enthaltene Umschreibung des Sachverhalts ermöglicht eine nachvollziehbare Sub- sumtion unter die untersuchten Tatbestände. Ausreichende Beweismittel</w:t>
      </w:r>
    </w:p>
    <w:p>
      <w:r>
        <w:t>- 9 -</w:t>
      </w:r>
    </w:p>
    <w:p>
      <w:r>
        <w:t>und Indizien, welche die Sachverhaltsdarstellung stützen, werden letztlich ebenfalls angegeben und vorgelegt, namentlich die Einkaufsstatistik der E. AG für die Jahre 2009 bis 2012 (act. 5.2) und die von der D. GmbH ge- genüber der ESTV deklarierten Umsätze für die Jahre 2009 bis 2012 (act. 5.3).</w:t>
      </w:r>
    </w:p>
    <w:p>
      <w:r>
        <w:t>In diesem Zusammenhang ist die Gesuchstellerin indes darauf hinzuweisen, dass es nicht angeht, die Beschwerdekammer um Ansetzung einer Nachfrist zur Ergänzung des Entsiegelungsgesuchs zu bitten, sollten die eingereich- ten Unterlagen für eine Gutheissung des Entsiegelungsgesuchs nicht aus- reichen (act. 1 S. 4). Es kann nicht die Aufgabe der Beschwerdekammer sein, die Entsiegelungsgesuche der Gesuchstellerin zu begründen. Und die Gesuchstellerin kann nicht darauf vertrauen, dass sie im Rahmen einer Ge- suchsreplik dazu Gelegenheit erhält.</w:t>
      </w:r>
    </w:p>
    <w:p>
      <w:r>
        <w:rPr>
          <w:b/>
        </w:rPr>
        <w:t>E. 5.2.5</w:t>
      </w:r>
    </w:p>
    <w:p>
      <w:r>
        <w:t>Nach dem Gesagten ist von einem hinreichenden Tatverdacht auszugehen. Ob sich dieser Tatverdacht entkräftet oder erhärtet, ist unter anderem durch die Sichtung der fraglichen Papiere und Daten zu ermitteln.</w:t>
      </w:r>
    </w:p>
    <w:p>
      <w:r>
        <w:rPr>
          <w:b/>
        </w:rPr>
        <w:t>E. 5.2.6</w:t>
      </w:r>
    </w:p>
    <w:p>
      <w:r>
        <w:t>Die diesbezüglichen Einwände des Gesuchsgegners sind unbehelflich. So- weit er Verjährung geltend macht, gilt es zu erwägen, dass die Verfolgungs- verjährung in der Regel frühestens im Zeitpunkt der Rechtskraft der Steuer- forderung verjährt (Art. 105 Abs. 1 MWSTG). Die Steuerforderung wird rechtskräftig u.a. durch den Eintritt der Festsetzungsverjährung (Art. 43 Abs. 1 lit. c MWSTG). Das Recht, eine Steuerforderung festzusetzen, ver- jährt fünf Jahre nach Ablauf der Steuerperiode, in der die Steuerforderung entstanden ist (Art. 42 Abs. 1 MWSTG). Die Ankündigung einer Kontrolle nach Art. 78 Abs. 3 MWSTG oder der Beginn einer unangekündigten Kon- trolle führen zu einer Unterbrechung der Verjährung (Art. 42 Abs. 2 Satz 2 MWSTG). Wird die Verjährung durch die ESTV unterbrochen, so beginnt die Verjährungsfrist neu zu laufen. Sie beträgt neu zwei Jahre (Art. 42 Abs. 3 MWSTG). Die Verjährung steht still, solange für die entsprechende Steuer- periode ein Steuerstrafverfahren nach MWSTG durchgeführt wird und der zahlungspflichtigen Person dies im Sinne von Art. 104 Abs. 4 MWSTG mit- geteilt worden ist (Art. 42 Abs. 4 MWSTG). Das Recht, die Steuerforderung festzusetzen, verjährt in jedem Fall zehn Jahre nach Ablauf der Steuerperi- ode, in der die Steuerforderung entstanden ist (Art. 42 Abs. 6 MWSTG). Vor- liegend kündigte die ESTV mit Schreiben vom 2. September 2014 eine Mehr- wertsteuerkontrolle für den Zeitraum 2009 bis 2013 an (act. 5.6), womit sich die neue 2-jährige Festsetzungsverjährung zu laufen begann. Am 31. Au- gust 2016 teilte die ESTV der D. GmbH sowie den beschuldigten Personen</w:t>
      </w:r>
    </w:p>
    <w:p>
      <w:r>
        <w:t>- 10 -</w:t>
      </w:r>
    </w:p>
    <w:p>
      <w:r>
        <w:t>die Eröffnung des Strafverfahrens mit (act. 5.7), womit die Festsetzungsver- jährung stillsteht. Mithin sind die Steuerforderungen ab 2009 nicht rechts- kräftig und die Verfolgungsverjährung noch nicht eingetreten.</w:t>
      </w:r>
    </w:p>
    <w:p>
      <w:r>
        <w:t>Die im Übrigen vorgebrachte Gegendarstellung des Sachverhalt vermag den Tatverdacht zurzeit nicht zu entkräften. Erst die weitere Untersuchung wird zeigen können, ob sich dieser entkräften oder erhärten lässt.</w:t>
      </w:r>
    </w:p>
    <w:p>
      <w:r>
        <w:rPr>
          <w:b/>
        </w:rPr>
        <w:t>E. 5.3.1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 und Gegenständen, welche die Versiegelung beantragen bzw. Durchsu- chungshindernisse geltend machen, haben ihrerseits die prozessuale Oblie- 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 nicht publiziert in BGE 139 IV 246; vgl. zum Ganzen zuletzt u.a. Beschluss des Bundesstraf- gerichts BE.2017.7 vom 1. Juni 2017, E. 5.1).</w:t>
      </w:r>
    </w:p>
    <w:p>
      <w:r>
        <w:rPr>
          <w:b/>
        </w:rPr>
        <w:t>E. 5.3.2</w:t>
      </w:r>
    </w:p>
    <w:p>
      <w:r>
        <w:t>Die Gesuchstellerin führt diesbezüglich aus, bei den sichergestellten und versiegelten Akten und Daten handle es sich ausnahmslos um solche, die einen Bezug zur D. GmbH hätten. Die Ordner seien entsprechend ange- schrieben und enthielten tatsächlich Unterlagen mit Bezug auf die D. GmbH. Soweit es sich um lose Blätter handle, seien die Dokumente unter dem Alt- papier gefunden worden (act. 1 S. 3). Unterlagen, welche aus der Zeit nach 2015 stammten seien für die Untersuchung von Bedeutung, weil diese An- haltspunkte für die Richtigkeit oder Mangelhaftigkeit der Abrechnungen der Jahre 2009 bis 2015 enthalten könnten. Ferner könnten sich darin Daten über die Identität allfälliger Auskunftspersonen und Zeugen befinden.</w:t>
      </w:r>
    </w:p>
    <w:p>
      <w:r>
        <w:rPr>
          <w:b/>
        </w:rPr>
        <w:t>E. 5.3.3</w:t>
      </w:r>
    </w:p>
    <w:p>
      <w:r>
        <w:t>Der vom Gesuchsgegner vorgebrachte Umstand, dass die sichergestellten Daten und Dokumente nicht ausreichten, die "chaotischen Administrati-</w:t>
      </w:r>
    </w:p>
    <w:p>
      <w:r>
        <w:t>- 11 -</w:t>
      </w:r>
    </w:p>
    <w:p>
      <w:r>
        <w:t>ons-Zustände" der D. GmbH seit Geschäftsbeginn von 2009 bis 2015 zu klä- ren (act. 3), spricht nicht gegen deren Bedeutung für die Untersuchung. Auf- grund der Umstände, wo und wie die Daten und Dokumente sichergestellt wurden, liegt auf der Hand, dass diese mit Blick auf den Untersuchungsge- genstand grundsätzlich verfahrenserheblich sind. Es muss angenommen werden, dass sich unter den versiegelten Papieren grundsätzlich untersu- chungsrelevante Informationen befinden.</w:t>
      </w:r>
    </w:p>
    <w:p>
      <w:r>
        <w:rPr>
          <w:b/>
        </w:rPr>
        <w:t>E. 5.4</w:t>
      </w:r>
    </w:p>
    <w:p>
      <w:r>
        <w:t>Die Durchsuchung erscheint angesichts des Tatvorwurfs ausserdem verhält- nismässig. Mithin erweist sie sich im Grundsatz als zulässig.</w:t>
      </w:r>
    </w:p>
    <w:p>
      <w:r>
        <w:rPr>
          <w:b/>
        </w:rPr>
        <w:t>E. 6.1</w:t>
      </w:r>
    </w:p>
    <w:p>
      <w:r>
        <w:t>Nachdem sich die Durchsuchung im Grundsatz als zulässig erweist, ist im zweiten Schritt zu prüfen, ob der Entsiegelung schützenswerte Geheimhal- tungsinteressen entgegenstehen.</w:t>
      </w:r>
    </w:p>
    <w:p>
      <w:r>
        <w:rPr>
          <w:b/>
        </w:rPr>
        <w:t>E. 6.2</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im Zusammenhang mit dem Schutz der Privatsphäre gemäss Art. 13 BV (vgl. MÜLLER/SCHEFER, Grundrechte in der Schweiz, 4. Aufl., Bern 2008, S. 199), welcher bei der Durchsuchung von Papieren zu beachten ist.</w:t>
      </w:r>
    </w:p>
    <w:p>
      <w:r>
        <w:rPr>
          <w:b/>
        </w:rPr>
        <w:t>E. 6.3</w:t>
      </w:r>
    </w:p>
    <w:p>
      <w:r>
        <w:t>Wie bereits festgestellt, werden vom Gesuchsgegner keine Geheimnisse geltend gemacht, die dem öffentlichen Interesse an Aufklärung und Verfol- gung mutmasslicher Straftaten vorgehen könnten. Solche Geheimnisse sind auch nicht ersichtlich.</w:t>
      </w:r>
    </w:p>
    <w:p>
      <w:r>
        <w:rPr>
          <w:b/>
        </w:rPr>
        <w:t>E. 7</w:t>
      </w:r>
    </w:p>
    <w:p>
      <w:r>
        <w:t>Nach dem Gesagten ist das Entsiegelungsgesuch gutzuheissen. Die Ge- suchstellerin ist zu ermächtigen, die sichergestellten Papiere und Datenträ- ger zu entsiegeln und zu durchsuchen.</w:t>
      </w:r>
    </w:p>
    <w:p>
      <w:r>
        <w:t>- 12 -</w:t>
      </w:r>
    </w:p>
    <w:p>
      <w:r>
        <w:rPr>
          <w:b/>
        </w:rPr>
        <w:t>E. 8</w:t>
      </w:r>
    </w:p>
    <w:p>
      <w:r>
        <w:t>Die Gerichtskosten sind bei diesem Ausgang des Verfahrens dem Gesuchs- gegner aufzuerlegen (Art. 66 Abs. 1 BGG analog; vgl. TPF 2011 25 E. 3). Die Gerichtsgebühr ist auf Fr. 2'000.– festzusetzen (Art. 25 Abs. 4 VStrR i.V.m. 73 StBOG und Art. 5 sowie Art. 8 Abs. 1 des Reglements des Bun- desstrafgerichts vom 31. August 2010 über die Kosten, Gebühren und Ent- 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