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BE.2017.14 vom 21. November 2017</w:t>
      </w:r>
    </w:p>
    <w:p>
      <w:r>
        <w:t>Bundesstrafgericht, 2017-11-21, DE</w:t>
      </w:r>
    </w:p>
    <w:p>
      <w:r>
        <w:rPr>
          <w:b/>
        </w:rPr>
        <w:t xml:space="preserve">Quelle: </w:t>
      </w:r>
      <w:r>
        <w:t>https://mcp.opencaselaw.ch/entscheid/bstger_BE.2017.14</w:t>
      </w:r>
    </w:p>
    <w:p>
      <w:r>
        <w:t>FR: TPF BE.2017.14 du 21 novembre 2017</w:t>
      </w:r>
    </w:p>
    <w:p>
      <w:r>
        <w:t>IT: TPF BE.2017.14 del 21 novembre 2017</w:t>
      </w:r>
    </w:p>
    <w:p>
      <w:pPr>
        <w:pStyle w:val="Heading2"/>
      </w:pPr>
      <w:r>
        <w:t>Regeste</w:t>
      </w:r>
    </w:p>
    <w:p>
      <w:r>
        <w:t>Entsiegelung (Art. 50 Abs. 3 VStrR).</w:t>
      </w:r>
    </w:p>
    <w:p>
      <w:pPr>
        <w:pStyle w:val="Heading2"/>
      </w:pPr>
      <w:r>
        <w:t>Erwägungen</w:t>
      </w:r>
    </w:p>
    <w:p>
      <w:r>
        <w:rPr>
          <w:b/>
        </w:rPr>
        <w:t>E. 1</w:t>
      </w:r>
    </w:p>
    <w:p>
      <w:r>
        <w:t>Ist die Verfolgung und Beurteilung von Widerhandlungen einer Verwaltungs- behörde des Bundes übertragen, so findet das VStrR Anwendung (Art. 1 VStrR). Gemäss Art. 103 Abs. 1 MWSTG ist auf die Strafverfolgung grund- sätzlich das VStrR anwendbar. Bei der Inlandsteuer und bei der Bezugsteuer obliegt die Strafverfolgung der ESTV (Art. 103 Abs. 2 MWSTG). Vorliegend richtet sich das Verfahren folglich nach dem VStrR.</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w:t>
      </w:r>
    </w:p>
    <w:p>
      <w:r>
        <w:t>Aufl., Zürich/Basel/Genf 2014, Art. 248 StPO N. 43a, wonach diese "Pflicht" des Beschuldigten zum Nemo-tenetur-Grundsatz im Widerspruch stehe und zugunsten dieses durch EMRK und BV gestützten Prinzips aufzu- lösen sei; differenzierter THORMANN/BRECHBÜHL, Basler Kommentar, 2. Aufl., Basel 2014, Art. 248 StPO N. 35 f.).</w:t>
      </w:r>
    </w:p>
    <w:p>
      <w:r>
        <w:rPr>
          <w:b/>
        </w:rPr>
        <w:t>E. 2.1</w:t>
      </w:r>
    </w:p>
    <w:p>
      <w:r>
        <w:t>Papiere (respektive Datenträger; vgl. hierzu BGE 108 IV 76 E. 1; Urteil des Bundesgerichts 1B_243/2016 vom 6. Oktober 2016, E. 3.4) sind mit grösster Schonung der Privatgeheimnisse zu durchsuchen; insbesondere sollen Pa- piere nur dann durchsucht werden, wenn anzunehmen ist, dass sich Schrif- ten darunter befinden, die für die Untersuchung von Bedeutung sind (Art. 50 Abs. 1 VStrR). Bei der Durchsuchung sind das Amtsgeheimnis und die Be- rufsgeheimnisse zu wahren (Art. 50 Abs. 2 VStrR). Dem Inhaber der Papiere ist wenn immer möglich Gelegenheit zu geben, sich vor der Durchsuchung</w:t>
      </w:r>
    </w:p>
    <w:p>
      <w:r>
        <w:t>- 4 -</w:t>
      </w:r>
    </w:p>
    <w:p>
      <w:r>
        <w:t>über ihren Inhalt auszusprechen. Erhebt er gegen die Durchsuchung Ein- sprache, so werden die Papiere versiegelt und verwahrt, und es entscheidet die Beschwerdekammer des Bundesstrafgerichts über die Zulässigkeit der Durchsuchung (Art. 50 Abs. 3 i.V.m. Art. 25 Abs. 1 VStrR, Art. 37 Abs. 2 lit. b StBOG).</w:t>
      </w:r>
    </w:p>
    <w:p>
      <w:r>
        <w:rPr>
          <w:b/>
        </w:rPr>
        <w:t>E. 2.2</w:t>
      </w:r>
    </w:p>
    <w:p>
      <w:r>
        <w:t>Zur Einsprache ist nur der jeweilige Inhaber der Papiere legitimiert (TPF 2016 55 E. 2.3). Dieser hat nicht nur die Papiere zu benennen, die seiner Ansicht nach der Siegelung und Geheimhaltung im Sinne von Art. 50 Abs. 3 VStrR unterliegen, sondern – im Rahmen des Zumutbaren – auch die Ge- heimnisse glaubhaft zu machen, die seiner Ansicht nach dem öffentlichen Interesse an der Aufklärung und Verfolgung von mutmasslichen Straftaten vorgehen. Bei der prozessualen Substanziierungsobliegenheit von Inhabern, welche die Siegelung verlangen, geht es nicht darum, schutzwürdige Ge- heimnisse inhaltlich preiszugeben, sondern lediglich zu umschreiben, wel- cher Art die angeblich tangierten Geheimnisinteressen sind und inwiefern sie so wichtig seien, dass sie das Strafverfolgungsinteresse überwiegen (vgl. Art. 264 Abs. 1 lit. b StPO). Eine solche minimale Substanziierungsobliegen- heit führt nicht zur Aushöhlung des Geheimnisschutzes. Sie dient vielmehr der Vermeidung, dass das Entsiegelungsverfahren rechtsmissbräuchlich oder trölerisch in Anspruch genommen werden könnte (Urteil des Bundes- gerichts 1B_637/2012 vom 8. Mai 2013, E. 3.6, nicht publiziert in BGE 139 IV 246; vgl. Beschluss des Bundesstrafgerichts BE.2015.11 vom 20. Okto- ber 2016, E. 3.4; kritisch dazu KELLER, in: Donatsch/Hansjakob/Lieber [Hrsg.], Kommentar zur Schweizerischen Strafprozessordnung [StPO],</w:t>
      </w:r>
    </w:p>
    <w:p>
      <w:r>
        <w:rPr>
          <w:b/>
        </w:rPr>
        <w:t>E. 2.3</w:t>
      </w:r>
    </w:p>
    <w:p>
      <w:r>
        <w:t>Nachdem weder aus dem unterzeichneten Durchsuchungs- und Beschlag- nahmebefehl vom 30. Juni 2017 (act. 1.2), noch aus dem unterzeichneten Durchsuchungsprotokoll vom 5. Juli 2017 (act. 1.3), noch aus dem unter- zeichneten Sicherstellungsprotokoll vom 5. Juli 2017 (act. 1.4) eine Begrün- dung der Einsprache hervorgeht, ist jedenfalls im vorliegenden Entsiege- lungsverfahren die Gesuchsgegnerin ihrer prozessualen Obliegenheit nicht nachgekommen. Weil das Gesuch damit ohne Weiterungen gutzuheissen ist, kann offen gelassen werden, ob überhaupt eine zur Einsprache legiti- mierte Person rechtgültig Einsprache erhoben hat.</w:t>
      </w:r>
    </w:p>
    <w:p>
      <w:r>
        <w:t>- 5 -</w:t>
      </w:r>
    </w:p>
    <w:p>
      <w:r>
        <w:rPr>
          <w:b/>
        </w:rPr>
        <w:t>E. 3</w:t>
      </w:r>
    </w:p>
    <w:p>
      <w:r>
        <w:t>Die Gerichtskosten sind bei diesem Ausgang des Verfahrens der Gesuchs- gegnerin aufzuerlegen (Art. 66 Abs. 1 BGG analog; vgl. TPF 2011 25 E. 3). Die Gerichtsgebühr ist auf Fr. 500.– festzusetzen (Art. 25 Abs. 4 VStrR i.V.m. Art. 73 StBOG und Art. 5 sowie Art. 8 Abs. 1 des Reglements des Bun- desstrafgerichts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