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BE.2017.13 vom 9. August 2017</w:t>
      </w:r>
    </w:p>
    <w:p>
      <w:r>
        <w:t>Bundesstrafgericht, 2017-08-09, FR</w:t>
      </w:r>
    </w:p>
    <w:p>
      <w:r>
        <w:rPr>
          <w:b/>
        </w:rPr>
        <w:t xml:space="preserve">Quelle: </w:t>
      </w:r>
      <w:r>
        <w:t>https://mcp.opencaselaw.ch/entscheid/bstger_BE.2017.13</w:t>
      </w:r>
    </w:p>
    <w:p>
      <w:r>
        <w:t>FR: TPF BE.2017.13 du 9 août 2017</w:t>
      </w:r>
    </w:p>
    <w:p>
      <w:r>
        <w:t>IT: TPF BE.2017.13 del 9 agosto 2017</w:t>
      </w:r>
    </w:p>
    <w:p>
      <w:pPr>
        <w:pStyle w:val="Heading2"/>
      </w:pPr>
      <w:r>
        <w:t>Regeste</w:t>
      </w:r>
    </w:p>
    <w:p>
      <w:r>
        <w:t>Levée des scellés (art. 50 al. 3 DPA).</w:t>
      </w:r>
    </w:p>
    <w:p>
      <w:pPr>
        <w:pStyle w:val="Heading2"/>
      </w:pPr>
      <w:r>
        <w:t>Erwägungen</w:t>
      </w:r>
    </w:p>
    <w:p>
      <w:r>
        <w:rPr>
          <w:b/>
        </w:rPr>
        <w:t>E. 1.1</w:t>
      </w:r>
    </w:p>
    <w:p>
      <w:r>
        <w:t>A teneur des art. 25 al. 1 et 50 al. 3 de la loi fédérale du 22 mars 1974 sur le droit pénal administratif (DPA; RS 313.0) et l'art. 37 al. 2 let. b de la loi fédérale sur l'organisation des autorités pénales de la Confédération (LOAP; RS 173.71), la Cour des plaintes du Tribunal pénal fédéral est compétente pour statuer sur la présente requête de levée des scellés, laquelle n'est soumise à aucun délai particulier. L'AFC est par ailleurs indiscutablement légitimée à soumettre une telle requête à la Cour de céans.</w:t>
      </w:r>
    </w:p>
    <w:p>
      <w:r>
        <w:rPr>
          <w:b/>
        </w:rPr>
        <w:t>E. 1.2</w:t>
      </w:r>
    </w:p>
    <w:p>
      <w:r>
        <w:t>Partant, la requête est recevable.</w:t>
      </w:r>
    </w:p>
    <w:p>
      <w:r>
        <w:rPr>
          <w:b/>
        </w:rPr>
        <w:t>E. 2.1</w:t>
      </w:r>
    </w:p>
    <w:p>
      <w:r>
        <w:t>Selon l'art. 103 al. 2 de la loi fédérale du 12 juin 2009 régissant la taxe sur la valeur ajoutée (LTVA; RS 641.20) la poursuite pénale des infractions incombe à l'AFC en matière d'impôt grevant les opérations réalisées sur le</w:t>
      </w:r>
    </w:p>
    <w:p>
      <w:r>
        <w:t>- 4 -</w:t>
      </w:r>
    </w:p>
    <w:p>
      <w:r>
        <w:t>territoire suisse et d'impôt sur les acquisitions. La poursuite pénale est régie par le DPA (art. 101 al. 1 LTVA); au nombre des mesures prévues par cette dernière loi figure notamment la perquisition visant des papiers (art. 50 DPA).</w:t>
      </w:r>
    </w:p>
    <w:p>
      <w:r>
        <w:rPr>
          <w:b/>
        </w:rPr>
        <w:t>E. 2.2</w:t>
      </w:r>
    </w:p>
    <w:p>
      <w:r>
        <w:t>Selon l'art. 50 DPA, la perquisition visant des papiers doit être opérée avec les plus grands égards pour les secrets privés; en particulier, les papiers ne seront examinés que s'ils contiennent apparemment des écrits importants pour l'enquête (al. 1). La perquisition doit être opérée de manière à sauvegarder le secret de fonction, ainsi que les secrets confiés aux ecclésiastiques, avocats, notaires, médecins, pharmaciens, sages-femmes et à leurs auxiliaires, en vertu de leur ministère ou de leur profession (al. 2). Avant la perquisition, le détenteur des papiers est, chaque fois que cela est possible, mis en mesure d'en indiquer le contenu. Il y a lieu de relever que lorsqu'elle reçoit une demande de levée des scellés, la Cour des plaintes se limite, dans un premier temps, à juger de l'admissibilité de la perquisition, la décision sur le sort des documents étant renvoyée à après leur tri (arrêt du Tribunal pénal fédéral BE.2006.5 du 19 septembre 2006, consid. 2).</w:t>
      </w:r>
    </w:p>
    <w:p>
      <w:r>
        <w:rPr>
          <w:b/>
        </w:rPr>
        <w:t>E. 2.3</w:t>
      </w:r>
    </w:p>
    <w:p>
      <w:r>
        <w:t>Dans le cadre d'une demande de levée des scellés selon l'art. 50 al. 3 DPA, la Cour des plaintes du Tribunal pénal fédéral n'a pas à se prononcer sur la réalisation des infractions reprochées au prévenu; elle se limite à déterminer si la perquisition concernant les documents mis sous scellés est admissible, soit si l'administration est légitimée ou non à y avoir accès (arrêt du Tribunal fédéral 1B_671/2012 du 8 mai 2013, consid. 3.7.1 et les références citées). La perquisition de documents n'est admissible qu'en présence d'indices suffisants de l'existence d'une infraction (arrêt du Tribunal fédéral précité, ibidem). La nécessité de la perquisition doit être justifiée par des soupçons précis et objectivement fondés et non pas reposer sur une suspicion générale ou une prévention purement subjective. L'art. 46 al. 1 let. a DPA permet le séquestre d'objets pouvant servir de pièces à conviction. L'art. 48 al. 1 DPA prévoit en particulier qu'une perquisition peut être effectuée dans des locaux dans lesquels se trouvent des objets ou valeurs soumis au séquestre. Conformément à l'art. 45 DPA, les mesures précitées doivent respecter le principe de la proportionnalité. L'objet de la perquisition doit être circonscrit de façon précise afin que l'on puisse contrôler sa connexité avec le soupçon précis et objectivement fondé qui pèse sur l'accusé et vérifier également le respect du principe de la proportionnalité (arrêt du Tribunal fédéral précité, consid. 3.8.1). La saisie de documents suppose en outre que ceux-ci soient importants pour l'instruction de la cause (art. 50 al. 1 DPA). Cette règle ne doit pas être interprétée de manière restrictive et, comme la formulation allemande le suggère de manière plus nuancée ("... Papiere ... die für die Untersuchung von Bedeutung sind"), elle signifie simplement que des documents ne peuvent être saisis que s'ils sont pertinents pour l'enquête (arrêt du Tribunal pénal fédéral BK_B 062/04 du 7 juin 2004, consid. 2.1). Il</w:t>
      </w:r>
    </w:p>
    <w:p>
      <w:r>
        <w:t>- 5 -</w:t>
      </w:r>
    </w:p>
    <w:p>
      <w:r>
        <w:t>est toutefois inévitable que la perquisition de papiers porte également sur des documents qui ne présentent aucun intérêt pour l'enquête (arrêt du Tribunal fédéral 1B_354/2009 et 1B_366/2009 du 2 mars 2010, consid. 3.2).</w:t>
      </w:r>
    </w:p>
    <w:p>
      <w:r>
        <w:rPr>
          <w:b/>
        </w:rPr>
        <w:t>E. 2.4</w:t>
      </w:r>
    </w:p>
    <w:p>
      <w:r>
        <w:t>En l'occurrence, les documents litigieux ont été saisis au domicile du prévenu ou dans sa voiture. Ils se rapportent pour la majeure partie d’entre eux aux différentes sociétés auxquelles la procédure pénale administrative a été étendue le 30 juin 2017 (act. 1.2) au motif que le prévenu en est ou a été associé-gérant respectivement administrateur et/ou liquidateur (act. 1.1). Ainsi qu’évoqué supra (let. A), ce dernier est suspecté d’utiliser ces différentes sociétés comme véhicules pour perpétrer ses infractions, soit en les gérant de telle sorte qu’elles soient déclarées en faillite, soit en leur faisant éluder l’impôt dû tout en bénéficiant de la déduction de l’impôt préalable ou encore en facturant des prestations fictives. En l’état actuel, il existe dès lors de sérieux soupçons portant à croire que A. a commis les infractions envisagées dans le cadre de l'enquête de l'autorité requérante. A ce titre, il y a lieu de considérer que la condition de l'existence de soupçons fondés d'infraction est réalisée.</w:t>
      </w:r>
    </w:p>
    <w:p>
      <w:r>
        <w:rPr>
          <w:b/>
        </w:rPr>
        <w:t>E. 2.5</w:t>
      </w:r>
    </w:p>
    <w:p>
      <w:r>
        <w:t>L'importance présumée pour l'enquête pénale en cours des documents ici concernés (documentation bancaire, factures, documents comptables, fiches de salaire, impôts, contrats de travail [act. 1.3]) apparaît également établie. A cet égard, le Tribunal fédéral a eu l'occasion de rappeler que l'autorité de levée des scellés doit s'en tenir, à ce stade, au principe de l' «utilité potentielle»; il s'agit en d'autres termes d'examiner si les documents en question présentent « apparemment » une pertinence pour l'instruction en cours (arrêt du Tribunal fédéral 1B_354/2009 du 2 mars 2010, consid. 3.2).</w:t>
      </w:r>
    </w:p>
    <w:p>
      <w:r>
        <w:rPr>
          <w:b/>
        </w:rPr>
        <w:t>E. 2.6</w:t>
      </w:r>
    </w:p>
    <w:p>
      <w:r>
        <w:t>La Haute Cour a encore précisé à cette occasion que l'autorité de levée des scellés ne procèdera elle-même à un premier tri des documents qu'en présence d'un secret professionnel avéré. En l’espèce toutefois aucun secret de ce genre n’apparaît exister. Il appartiendra donc à l'autorité requérante d'effectuer elle-même ce tri, à l'issue duquel elle désignera les pièces qui sont versées au dossier et celles qui, le cas échéant, seront restituées au prévenu, faute de pertinence pour l'enquête.</w:t>
      </w:r>
    </w:p>
    <w:p>
      <w:r>
        <w:rPr>
          <w:b/>
        </w:rPr>
        <w:t>E. 3</w:t>
      </w:r>
    </w:p>
    <w:p>
      <w:r>
        <w:t>Au vu de ce qui précède, la requête de levée des scellés est admise.</w:t>
      </w:r>
    </w:p>
    <w:p>
      <w:r>
        <w:rPr>
          <w:b/>
        </w:rPr>
        <w:t>E. 4</w:t>
      </w:r>
    </w:p>
    <w:p>
      <w:r>
        <w:t>Dans la mesure où l’AFC a apposé d’office les scellés sur les pièces saisies et que le prévenu ne s’est pas prononcé dans le cadre de la présente procédure de levée des scellés, la décision sera rendue sans frais.</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