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BE.2015.7_A vom 8. März 2016</w:t>
      </w:r>
    </w:p>
    <w:p>
      <w:r>
        <w:t>Bundesstrafgericht, 2016-03-08, DE</w:t>
      </w:r>
    </w:p>
    <w:p>
      <w:r>
        <w:rPr>
          <w:b/>
        </w:rPr>
        <w:t xml:space="preserve">Quelle: </w:t>
      </w:r>
      <w:r>
        <w:t>https://mcp.opencaselaw.ch/entscheid/bstger_BE.2015.7_A</w:t>
      </w:r>
    </w:p>
    <w:p>
      <w:r>
        <w:t>FR: TPF BE.2015.7_A du 8 mars 2016</w:t>
      </w:r>
    </w:p>
    <w:p>
      <w:r>
        <w:t>IT: TPF BE.2015.7_A del 8 marzo 2016</w:t>
      </w:r>
    </w:p>
    <w:p>
      <w:pPr>
        <w:pStyle w:val="Heading2"/>
      </w:pPr>
      <w:r>
        <w:t>Regeste</w:t>
      </w:r>
    </w:p>
    <w:p>
      <w:r>
        <w:t>Entsiegelung (Art. 50 Abs. 3 VStrR).</w:t>
      </w:r>
    </w:p>
    <w:p>
      <w:pPr>
        <w:pStyle w:val="Heading2"/>
      </w:pPr>
      <w:r>
        <w:t>Erwägungen</w:t>
      </w:r>
    </w:p>
    <w:p>
      <w:r>
        <w:rPr>
          <w:b/>
        </w:rPr>
        <w:t>E. 1.1</w:t>
      </w:r>
    </w:p>
    <w:p>
      <w:r>
        <w:t>Gemäss Art. 90 Abs. 1 HMG wird die Strafverfolgung im Vollzugsbereich des Bundes von der Gesuchstellerin nach den Bestimmungen des Bundesgeset- zes über das Verwaltungsstrafrecht (VStrR; SR 313.0) geführt.</w:t>
      </w:r>
    </w:p>
    <w:p>
      <w:r>
        <w:rPr>
          <w:b/>
        </w:rPr>
        <w:t>E. 1.2</w:t>
      </w:r>
    </w:p>
    <w:p>
      <w:r>
        <w:t>Erhebt im Verwaltungsstrafverfahren der Inhaber von Papieren und Datenträ- gern (vgl. hierzu BGE 108 IV 76 E. 1) bei der Hausdurchsuchung Einsprache gegen deren Durchsuchung, so werden die Papiere vorläufig versiegelt und verwahrt (Art. 50 Abs. 3 VStrR). Über die Zulässigkeit der Durchsuchung ent- scheidet dann auf Gesuch der Verwaltungsstrafbehörde die Beschwerdekam- mer des Bundesstrafgerichts (Art. 50 Abs. 3 VStrR i. V. m. Art. 37 Abs. 2 lit. b StBOG). Gemäss konstanter Praxis der Beschwerdekammer entscheidet</w:t>
      </w:r>
    </w:p>
    <w:p>
      <w:r>
        <w:t>- 4 -</w:t>
      </w:r>
    </w:p>
    <w:p>
      <w:r>
        <w:t>diese bei Entsiegelungsgesuchen in einem ersten Schritt, ob die Durchsu- chung im Grundsatz zulässig ist und, sofern dies bejaht wird, in einem zweiten Schritt, ob die Voraussetzungen für eine Entsiegelung erfüllt sind.</w:t>
      </w:r>
    </w:p>
    <w:p>
      <w:r>
        <w:rPr>
          <w:b/>
        </w:rPr>
        <w:t>E. 1.3</w:t>
      </w:r>
    </w:p>
    <w:p>
      <w:r>
        <w:t>Die Siegelung der beiden Positionen M-009412 (Siegel 451095) und M- 009478 (Siegel 451096) erfolgte auf Einsprache des Gesuchsgegners als In- haber der Unterlagen im unmittelbaren zeitlichen Kontext mit der Durchsu- chung an seinem Privatdomizil. Das Gesuch um Entsiegelung ist im Anwen- dungsbereich des VStrR an keine Frist gebunden, indessen mit Beförderlich- keit zu stellen. Vorliegend ist das Entsiegelungsbegehren vom 16. Okto- ber 2015 in Anbetracht der am 28. September 2015 erfolgten Durchsuchung und Siegelung ohne Weiteres als rechtzeitig zu betrachten. Auf das Entsiege- lungsgesuch ist daher einzutreten.</w:t>
      </w:r>
    </w:p>
    <w:p>
      <w:r>
        <w:rPr>
          <w:b/>
        </w:rPr>
        <w:t>E. 2.1</w:t>
      </w:r>
    </w:p>
    <w:p>
      <w:r>
        <w:t>Die Gesuchstellerin macht geltend, dass ein konkreter Tatverdacht für ein Her- stellen und Inverkehrbringen von Präparaten unter Verantwortung des Ge- suchsgegners erfolgte, wobei dieser bzw. die B. AG nicht über die erforderli- chen Bewilligungen verfügt habe, mindestens eine Anwendung bei einem Kind und zudem allogen erfolgt sei, gesundheitsgefährdende Rückstände in be- schlagnahmten Präparaten gefunden worden seien, es sich nicht um Trans- plantate oder Transplantatprodukte handle und damit ein Tatverdacht für den Vergehenstatbestand von Art. 86 Abs. 1 lit. b HMG gegeben sei. Sie legt er- gänzend einen Strafbescheid vom 5. Mai 2015 gegen den Gesuchsgegner und weitere Personen ins Recht, welcher ein bereits im Jahre 2013 eröffnetes Verwaltungsstrafverfahren betrifft (act. 1.2). Der Gesuchsgegner hält dem ent- gegen, dass zwar der Sachverhalt selbst grossenteils unbestritten sei, indes- sen in Bezug auf die rechtliche Subsumption eine andere Position vertreten werde. Deshalb habe er gegen den Strafbescheid Einsprache erhoben (act. 3).</w:t>
      </w:r>
    </w:p>
    <w:p>
      <w:r>
        <w:rPr>
          <w:b/>
        </w:rPr>
        <w:t>E. 2.2</w:t>
      </w:r>
    </w:p>
    <w:p>
      <w:r>
        <w:t>Von einer Durchsuchung von Papieren, bei der es sich um eine strafprozessu- ale Zwangsmassnahme handelt, wird gesprochen, wenn Schriftstücke oder Datenträger im Hinblick auf ihren Inhalt oder ihre Beschaffenheit durchgelesen bzw. besichtigt werden, um ihre Beweiseignung festzustellen und sie allenfalls mittels später erfolgender Beschlagnahme zu den Akten zu nehmen. Voraus- setzung für eine Entsiegelung ist somit ein hinreichender Tatverdacht für eine die Durchsuchung rechtfertigende Straftat, d.h. ein Sachverhalt muss ausrei- chend detailliert umschrieben werden, damit eine Subsumption unter einen oder allenfalls auch alternativ unter mehrere Tatbestände des Strafrechts</w:t>
      </w:r>
    </w:p>
    <w:p>
      <w:r>
        <w:t>- 5 -</w:t>
      </w:r>
    </w:p>
    <w:p>
      <w:r>
        <w:t>überhaupt nachvollziehbar vorgenommen werden kann. Sodann müssen aus- reichende Beweismittel oder Indizien angegeben und vorgelegt werden, die diesen Sachverhalt stützen. In Abgrenzung zum dringenden setzt dabei der hinreichende Tatverdacht gerade nicht voraus, dass Beweise oder Indizien bereits für eine erhebliche oder hohe Wahrscheinlichkeit einer Verurteilung sprechen (vgl. Beschluss des Bundesstrafgerichts BE.2006.7 vom 20. Feb- ruar 2007, E. 3.1 m.w.H.; die dort angeführten Überlegungen gelten gleicher- massen auch für das Verwaltungsstrafverfahren, gibt es doch diesbezüglich keinen sachlichen Grund für eine unterschiedliche Rechtsanwendung; vgl. zu- letzt auch die Beschlüsse des Bundesstrafgerichts BE.2013.7 vom 6. Novem- ber 2013, E. 3.1; BE.2013.6 vom 29. Oktober 2013, E. 3.1). Die Durchsuchung von Papieren ist dabei mit grösster Schonung der Privatgeheimnisse und un- ter Wahrung der Berufs- und Amtsgeheimnisse durchzuführen (Art. 50 Abs. 1 und 2 VStrR; vgl. zum Ganzen TPF 2007 96 E. 2; Beschlüsse des Bun- desstrafgerichts BE.2014.8 vom 16. Juni 2014, E. 2; BE.2013.10 vom 21. No- vember 2013, E. 2).</w:t>
      </w:r>
    </w:p>
    <w:p>
      <w:r>
        <w:rPr>
          <w:b/>
        </w:rPr>
        <w:t>E. 2.3</w:t>
      </w:r>
    </w:p>
    <w:p>
      <w:r>
        <w:t>Gemäss Art. 86 Abs. 1 lit. b HMG wird, sofern keine schwerere strafbare Hand- lung nach dem StGB oder dem Betäubungsmittelgesetz (BetmG; SR 812.121) vorliegt, mit Gefängnis oder mit Busse bis zu 200'000 Franken bestraft, wer die Gesundheit von Menschen gefährdet, indem er oder sie vorsätzlich Arz- neimittel ohne Zulassung, ohne Bewilligung oder entgegen anderen Bestim- mungen dieses Gesetzes herstellt, in Verkehr bringt, verschreibt, einführt, ausführt oder damit im Ausland handelt. Gewerbsmässige Begehung wird ge- mäss Art. 86 Abs. 2 HMG mit Gefängnis bis zu fünf Jahren und mit Busse bis zu 500'000 Franken bedroht. Beim Sachverhalt, der dem Strafbescheid vom</w:t>
      </w:r>
    </w:p>
    <w:p>
      <w:r>
        <w:rPr>
          <w:b/>
        </w:rPr>
        <w:t>E. 5</w:t>
      </w:r>
    </w:p>
    <w:p>
      <w:r>
        <w:t>Über die Kosten des Verfahrens und eine allfällige Entschädigung wird in ei- nem späteren Zeitpunkt entschieden.</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