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BE.2015.7 vom 20. April 2016</w:t>
      </w:r>
    </w:p>
    <w:p>
      <w:r>
        <w:t>Bundesstrafgericht, 2016-04-20, DE</w:t>
      </w:r>
    </w:p>
    <w:p>
      <w:r>
        <w:rPr>
          <w:b/>
        </w:rPr>
        <w:t xml:space="preserve">Quelle: </w:t>
      </w:r>
      <w:r>
        <w:t>https://mcp.opencaselaw.ch/entscheid/bstger_BE.2015.7</w:t>
      </w:r>
    </w:p>
    <w:p>
      <w:r>
        <w:t>FR: TPF BE.2015.7 du 20 avril 2016</w:t>
      </w:r>
    </w:p>
    <w:p>
      <w:r>
        <w:t>IT: TPF BE.2015.7 del 20 aprile 2016</w:t>
      </w:r>
    </w:p>
    <w:p>
      <w:pPr>
        <w:pStyle w:val="Heading2"/>
      </w:pPr>
      <w:r>
        <w:t>Regeste</w:t>
      </w:r>
    </w:p>
    <w:p>
      <w:r>
        <w:t>Entsiegelung (Art. 50 Abs. 3 VStR).</w:t>
      </w:r>
    </w:p>
    <w:p>
      <w:pPr>
        <w:pStyle w:val="Heading2"/>
      </w:pPr>
      <w:r>
        <w:t>Erwägungen</w:t>
      </w:r>
    </w:p>
    <w:p>
      <w:r>
        <w:rPr>
          <w:b/>
        </w:rPr>
        <w:t>E. 1</w:t>
      </w:r>
    </w:p>
    <w:p>
      <w:r>
        <w:t>Die Eintretensvoraussetzungen wurden bereits im Zwischenentscheid vom 8. März 2016, E. 1, geprüft und bejaht. Darauf ist zu verweisen.</w:t>
      </w:r>
    </w:p>
    <w:p>
      <w:r>
        <w:rPr>
          <w:b/>
        </w:rPr>
        <w:t>E. 2</w:t>
      </w:r>
    </w:p>
    <w:p>
      <w:r>
        <w:t>Aufl., Zürich/Basel/Genf 2014, Art. 248 N 28), was aufgrund des mit dem Bundesgesetz vom 28. September 2012 (BBl 2011, S. 8181) über die An- passung von verfahrensrechtlichen Bestimmungen zum anwaltlichen Berufs- geheimnis eingefügten Art. 46 Abs. 3 VStrR auch für das Verwaltungsstraf- recht gilt.</w:t>
      </w:r>
    </w:p>
    <w:p>
      <w:r>
        <w:rPr>
          <w:b/>
        </w:rPr>
        <w:t>E. 2.1</w:t>
      </w:r>
    </w:p>
    <w:p>
      <w:r>
        <w:t>Anlässlich der Verhandlung vom 12. April 2016 waren sich die Parteien bei einer Reihe von Dokumenten darüber einig, dass sie Anwaltsgeheimisse</w:t>
      </w:r>
    </w:p>
    <w:p>
      <w:r>
        <w:t>- 4 -</w:t>
      </w:r>
    </w:p>
    <w:p>
      <w:r>
        <w:t>enthalten resp. zur Beschlagnahme freigegeben werden können. Das Ver- fahren wurde bezüglich dieser Dokumente mit Teilbeschluss vom 14. April 2016 (E. 2.2, 2.3 und Ziffern 1 und 2 des Dispositivs) abgeschrieben.</w:t>
      </w:r>
    </w:p>
    <w:p>
      <w:r>
        <w:rPr>
          <w:b/>
        </w:rPr>
        <w:t>E. 2.2</w:t>
      </w:r>
    </w:p>
    <w:p>
      <w:r>
        <w:t>Bei weiteren Dokumenten waren sich die Parteien uneins. Die Beschwerde- kammer hat dementsprechend (vgl. Teilbeschluss vom 14. April 2016, E. 2.4; BGE 132 IV 63 E. 4.2 und 4.3) über Freigabe an den Gesuchsteller oder Rückgabe an den Gesuchsgegner in Bezug auf folgende sieben Doku- mente zu entscheiden: Aktennummer Swissmedic M-009412 (Ordner) / Siegel Nr. 451095: Dokumentennummern: 015, 045, 046 Aktennummer Swissmedic M-009478 (Aktenmappe) / Siegel Nr. 451096: Dokumentennummern: 120, 121, 126, 129. Anlässlich der Verhandlung wurde den Parteien mitgeteilt, dass das (vom Gesuchsgegner freigegebene) Dokument Nr. 50 vom Gericht kopiert und beigezogen werde für die Beurteilung, ob Anwaltsgeheimnisse vorlägen (act. 7 S. 7).</w:t>
      </w:r>
    </w:p>
    <w:p>
      <w:r>
        <w:rPr>
          <w:b/>
        </w:rPr>
        <w:t>E. 2.3</w:t>
      </w:r>
    </w:p>
    <w:p>
      <w:r>
        <w:t>Gegenstände und Unterlagen aus dem Verkehr einer Person mit ihrem An- walt dürfen nicht beschlagnahmt werden, sofern dieser nach dem Bundes- gesetz vom 23. Juni 2000 über die Freizügigkeit der Anwältinnen und An- wälte (Anwaltsgesetz, BGFA; SR 935.61) zur Vertretung vor schweizeri- schen Gerichten berechtigt und im gleichen Sachzusammenhang nicht sel- ber beschuldigt ist. Geschützt ist das Berufsgeheimnis der BGFA-Anwälte, welche nach BGFA zur Vertretung vor schweizerischen Gerichten berechtigt sind. Neben den in einem kantonalen Anwaltsregister eingetragenen Anwäl- ten fallen darunter auch die Angehörigen von Mitgliedstaaten der EU oder EFTA, die berechtigt sind, den Anwaltsberuf in ihrem Herkunftsstaat auszu- üben (BURCKHARD/RYSER, Die erweiterten Beschlagnahmeverbote zum Schutz des Anwaltsgeheimnisses, insbesondere im neuen Strafverfahren, in: AJP 22 [2013], S. 162 f.). Die herkömmliche Tätigkeit des Anwalts ist durch juristische Beratung geprägt, durch die Verfassung von juristischen Urkunden wie auch durch Unterstützung oder Vertretung von Personen vor einer Verwaltungs- oder Gerichtsbehörde (BGE 135 III 410 E. 3.3). Gestützt auf die bundesgerichtliche Rechtsprechung bezieht sich das Anwaltsge- heimnis nur auf Informationen, die einem Anwalt im Rahmen seiner ur- sprünglichen, berufsspezifischen Tätigkeit, d. h. in Ausübung seines An- waltsmandates, anvertraut worden sind. Tatsachen, die er in Zusammen- hang mit einer anderen, nicht berufsspezifischen Tätigkeit erfahren hat, sind nicht geschützt (vgl. hierzu die ausführliche Auseinandersetzung in</w:t>
      </w:r>
    </w:p>
    <w:p>
      <w:r>
        <w:t>- 5 -</w:t>
      </w:r>
    </w:p>
    <w:p>
      <w:r>
        <w:t>TPF RR.2015.39 – 41 vom 21. Oktober 2015, E. 6.3, zur Publikation vorge- sehen). Solche Unterlagen sind, vorbehältlich eines eigentlichen Rechts- missbrauchs, was hier ausser Betracht fällt, der Durchsuchung absolut ent- zogen (KELLER, in: Donatsch/Hansjakob/Lieber [Hrsg.], Kommentar StPO,</w:t>
      </w:r>
    </w:p>
    <w:p>
      <w:r>
        <w:rPr>
          <w:b/>
        </w:rPr>
        <w:t>E. 2.4</w:t>
      </w:r>
    </w:p>
    <w:p>
      <w:r>
        <w:t>Unter Berücksichtigung der Vorbringen der Parteien ergibt sich aus dem Stu- dium der einzelnen Dokumente was folgt: Dokument 015</w:t>
      </w:r>
    </w:p>
    <w:p>
      <w:r>
        <w:t>Es handelt sich hierbei um ein Memorandum vom 13. Dezember 2013 des Gesuchsgegners an F. AG (Herrn G. / Herrn H.). Gemäss dem Webauftritt von F. AG ist RA G. Partner und RA H. Associate der Anwaltskanzlei. Das Memorandum instruiert Anwälte. Als Anwaltskorrespondenz unterliegt es dem Beschlagnahmeverbot. Dementsprechend ist das Dokument 015 dem Gesuchsgegner zurückzugeben. Dokument 045</w:t>
      </w:r>
    </w:p>
    <w:p>
      <w:r>
        <w:t>Der Titel des (undatierten) Dokuments lautet "Bemerkungen zum Schluss- protokoll swissmedic vom 27. Mai 2014" und es leitet ein mit den Worten "Wir verweisen dazu in erster Linie auf unser Memo vom 13.12.2013 (…) welches unsere Ansicht darstellt (Beilage). Zusätzliche Bemerkungen zu den Punk- ten:". Die ausdrückliche und enge Verknüpfung mit dem Dokument 015 muss zum Schluss führen, dass die "Bemerkungen" ebenfalls an den gleichen Ad- ressaten gerichtet waren, mithin Anwaltskorrespondenz darstellen. Damit ist das Dokument 045 ebenfalls dem Gesuchsgegner zurückzugeben. Dokument 046</w:t>
      </w:r>
    </w:p>
    <w:p>
      <w:r>
        <w:t>Das (undatierte) Dokument ist mit "Gedanken I. [Person] Schlussprotokoll" betitelt. Es nennt keinen Adressaten. Gemäss Gesuchsgegner sei es ein Teil des Dokumentes 045, während der Gesuchsteller darin nur eine interne Mei- nungsbildung erkennt (Verhandlungsprotokoll act. 7 S. 7). Das Dokument 045 fasst Bemerkungen an die Anwälte zusammen. Das Dokument 050 (frei- gegebene E-Mails) erklärt am 30. Mai 2014 15:55 Uhr (mit "Cc: I.") dazu: "I. schickt noch separat ihre eigenen Kommentare." und endet mit "Ich würde dann die gesammelten Werke an F. AG weiterleiten.". Dies schafft eine über- wiegende Wahrscheinlichkeit dafür, dass auch das Dokument 046 für An- wälte bestimmt und an Anwälte gerichtet war. Das Dokument 046 ist dem- nach als Anwaltskorrespondenz dem Gesuchsgegner zurückzugeben.</w:t>
      </w:r>
    </w:p>
    <w:p>
      <w:r>
        <w:t>- 6 -</w:t>
      </w:r>
    </w:p>
    <w:p>
      <w:r>
        <w:t>Dokumente 120 und 121</w:t>
      </w:r>
    </w:p>
    <w:p>
      <w:r>
        <w:t>Beide Dokumente bestehen aus handschriftlichen, undatierten Notizen ohne Titel, Angabe von Verfasser oder Adressat. Sie sind strukturiert durch Sei- tenverweise mit Anmerkungen. Gemäss dem Gesuchsgegner sei es die Stellungnahme von Frau I. zur Anklageschrift. Es handle sich um einen Input an die Rechtsanwälte (Prot., S. 14). Jedoch war das für Anwälte bestimmte Dokument 046 in Maschinenschrift gehalten, was für externe Mitteilungen im Geschäftsverkehr auch üblich ist. Die Dokumente 120 und 121 sind mehr formlose Sammlung von Gedanken als Anwaltsinstruktion. Liegen mithin ge- sellschaftsinterne Akten vor, sind die Dokumente 120 und 121 vom Anwalts- geheimnis nicht erfasst und dem Gesuchsteller daher freizugeben. Dokument 126</w:t>
      </w:r>
    </w:p>
    <w:p>
      <w:r>
        <w:t>Der Titel des Dokumentes (auf zwei Zeilen) lautet "Gedanken I. [Person] Schlussprotokoll". Es ist nach Seitenzahlen gegliedert und in Maschinen- schrift verfasst. Die in der Aktenmappe obenliegenden Dokumente 124 und 125 sind unbestrittenermassen Anwaltsakten. Das Dokument 124 ist im Pro- tokoll beschrieben als "Memorandum B. AG an RAe, 13.12.13", das Doku- ment 125 als "Bemerkungen zum Schlussprotokoll Swissmedic, 27.05.14" (Prot., S. 14). Das in der Aktenmappe folgende Dokument 127 (gemäss Prot. eine Kopie von Dokument 125) ist ebenfalls unbestrittenermassen vom An- waltsgeheimnis erfasst. Dass das Dokument 126 wie das Dokument 046 in Maschinenschrift verfasst, ähnlich betitelt und in der Aktenmappe in geheim- nisgeschützte Dokumente eingereiht ist, führt zum Schluss, dass das Doku- ment 126 als an Anwälte gerichtet vom Anwaltsgeheimnis erfasst und eben- falls dem Gesuchsgegner zurückzugeben ist. Dokument 129</w:t>
      </w:r>
    </w:p>
    <w:p>
      <w:r>
        <w:t>Das Dokument 129 enthält schwarzen Text mit Verstellungen, wie sie sich üblicherweise ergeben bei Text, welcher aus einem PDF mit unvollständiger Texterkennung kopiert wurde. Soweit der einleitende und besonders ent- stellte Absatz korrekt entziffert werden kann, handelt es sich beim schwarzen Text um eine Auskunft auf Gesuch des Strafrechtsdienstes vom 5. Dezem- ber 2013 in einem Verwaltungsstrafverfahren. Das Dokument 129 enthält zu schwarzen Textblöcken Kommentierungen in roter und grüner Schriftfarbe und auf der drittletzten Seite eine handschriftliche Anmerkung. Das Doku- ment 129 ist nicht mit Seitenzahlen versehen. Gemäss Stellungnahme des Gesuchsgegners handle es sich um Bemerkungen an die Rechtsanwälte für eine Replik (Prot., S. 15). Für diese Adressaten gibt es aus dem Dokument aber keine konkreten Anhaltspunkte. Kommentierungen oder Zusammenfas- sungen werden nicht zwangsläufig nur für Anwälte erstellt, sondern in einer Gesellschaft z.B. auch zwecks interner Meinungsbildung auf der Fachebene</w:t>
      </w:r>
    </w:p>
    <w:p>
      <w:r>
        <w:t>- 7 -</w:t>
      </w:r>
    </w:p>
    <w:p>
      <w:r>
        <w:t>oder zwecks Reporting an Organe. Das Dokument 129 ist somit mit überwie- gender Wahrscheinlichkeit nicht geheimnisgeschützt und daher dem Ge- suchsteller freizugeben.</w:t>
      </w:r>
    </w:p>
    <w:p>
      <w:r>
        <w:rPr>
          <w:b/>
        </w:rPr>
        <w:t>E. 2.5</w:t>
      </w:r>
    </w:p>
    <w:p>
      <w:r>
        <w:t>Zusammenfassend sind somit die Dokumente Nr. 015, 045, 046 und 126 als dem Anwaltsgeheimnis unterliegend dem Gesuchsgegner zurückzugeben. Dem Gesuchsteller freizugeben sind demgegenüber die Dokumente Nr. 120, 121 und 129.</w:t>
      </w:r>
    </w:p>
    <w:p>
      <w:r>
        <w:rPr>
          <w:b/>
        </w:rPr>
        <w:t>E. 3.1</w:t>
      </w:r>
    </w:p>
    <w:p>
      <w:r>
        <w:t>Art. 50 Abs. 3 VStrR verweist für das Entsiegelungsverfahren auf Art. 25 Abs. 1 VStrR. Danach entscheidet die Beschwerdekammer des Bun- desstrafgerichts über die ihr nach diesem Gesetz zugewiesenen Beschwer- den und "Anstände". Beim Entscheid über die Entsiegelung handelt es sich mithin um einen solchen "Anstand". Die Rechtsprechung der Beschwerde- kammer wendet dabei für Anstände und Beschwerden die gleiche Kostenre- gelung an (etwa im Beschluss des Bundesstrafgerichts BE.2011.2 vom 18. Oktober 2011). Art. 25 Abs. 4 VStrR verweist bezüglich der Kostenpflicht im Beschwerdeverfahren vor der Beschwerdekammer auf Art. 73 des Straf- behördenorganisationsgesetzes (StBOG; SR 173.71). Art. 73 StBOG ver- weist seinerseits auf das Reglement des Bundesstrafgerichts vom 31. Au- gust 2010 über die Kosten, Gebühren und Entschädigungen in Bundesstraf- verfahren (BStKR, SR 173.713.162). Da dem BStKR jedoch keine Regelung über die Verlegung der Gerichtskosten entnommen werden kann, ist ergän- zend die Regelung des Bundesgerichtsgesetzes (BGG; SR: 173.110) anzu- wenden (siehe hierzu TPF 2011 25 E. 3).</w:t>
      </w:r>
    </w:p>
    <w:p>
      <w:r>
        <w:rPr>
          <w:b/>
        </w:rPr>
        <w:t>E. 3.2</w:t>
      </w:r>
    </w:p>
    <w:p>
      <w:r>
        <w:t>Bei diesem Ausgang des Verfahrens obsiegen die Parteien je rund zur Hälfte. Die Gerichtsgebühr für ein Verfahren mit drei Entscheiden und einer zweistündigen Verhandlung würde Fr. 8'000.-- betragen. Zufolge Vergleichs ist davon auf die Hälfte zu verzichten (Art. 66 Abs. 2 BGG). Dem zur Hälfte unterliegenden Gesuchsgegner ist davon in Anwendung von Art. 66 Abs. 1 die wiederum auf die Hälfte reduzierte Gerichtsgebühr von Fr. 2'000.-- auf- zuerlegen. Bei diesem Ausgang des Verfahrens ist keine Parteientschädi- gung zuzusprechen.</w:t>
      </w:r>
    </w:p>
    <w:p>
      <w:r>
        <w:t>- 8 -</w:t>
      </w:r>
    </w:p>
    <w:p>
      <w:r>
        <w:rPr>
          <w:b/>
        </w:rPr>
        <w:t>E. 4</w:t>
      </w:r>
    </w:p>
    <w:p>
      <w:r>
        <w:t>Nach Eintritt der Rechtskraft dieses Entscheids sind die entfernten Siegel sowie das für vorliegenden Entscheid in Kopie beigezogene Dokument 050 (vgl. Prot., S. 7) zu vernichten.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