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BE.2015.4 vom 25. August 2015</w:t>
      </w:r>
    </w:p>
    <w:p>
      <w:r>
        <w:t>Bundesstrafgericht, 2015-08-25, DE</w:t>
      </w:r>
    </w:p>
    <w:p>
      <w:r>
        <w:rPr>
          <w:b/>
        </w:rPr>
        <w:t xml:space="preserve">Quelle: </w:t>
      </w:r>
      <w:r>
        <w:t>https://mcp.opencaselaw.ch/entscheid/bstger_BE.2015.4</w:t>
      </w:r>
    </w:p>
    <w:p>
      <w:r>
        <w:t>FR: TPF BE.2015.4 du 25 août 2015</w:t>
      </w:r>
    </w:p>
    <w:p>
      <w:r>
        <w:t>IT: TPF BE.2015.4 del 25 agosto 2015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Juli 2014);</w:t>
      </w:r>
    </w:p>
    <w:p>
      <w:r>
        <w:t>- unter den vorliegenden Umständen keine Gerichtskosten zu erheben sind (vgl. Art. 66 Abs. 2 BGG analog; vgl. hierzu TPF 2011 25 E. 3);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