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BE.2015.2 vom 30. September 2015</w:t>
      </w:r>
    </w:p>
    <w:p>
      <w:r>
        <w:t>Bundesstrafgericht, 2015-09-30, FR</w:t>
      </w:r>
    </w:p>
    <w:p>
      <w:r>
        <w:rPr>
          <w:b/>
        </w:rPr>
        <w:t xml:space="preserve">Quelle: </w:t>
      </w:r>
      <w:r>
        <w:t>https://mcp.opencaselaw.ch/entscheid/bstger_BE.2015.2</w:t>
      </w:r>
    </w:p>
    <w:p>
      <w:r>
        <w:t>FR: TPF BE.2015.2 du 30 septembre 2015</w:t>
      </w:r>
    </w:p>
    <w:p>
      <w:r>
        <w:t>IT: TPF BE.2015.2 del 30 settembre 2015</w:t>
      </w:r>
    </w:p>
    <w:p>
      <w:pPr>
        <w:pStyle w:val="Heading2"/>
      </w:pPr>
      <w:r>
        <w:t>Regeste</w:t>
      </w:r>
    </w:p>
    <w:p>
      <w:r>
        <w:t>Levée des scellés (art. 50 al. 3 DPA).</w:t>
      </w:r>
    </w:p>
    <w:p>
      <w:pPr>
        <w:pStyle w:val="Heading2"/>
      </w:pPr>
      <w:r>
        <w:t>Erwägungen</w:t>
      </w:r>
    </w:p>
    <w:p>
      <w:r>
        <w:rPr>
          <w:b/>
        </w:rPr>
        <w:t>E. 1</w:t>
      </w:r>
    </w:p>
    <w:p>
      <w:r>
        <w:t>A teneur des art. 25 al. 1 et 50 al. 3 DPA, la Cour des plaintes du Tribunal pénal fédéral est compétente pour statuer sur l’admissibilité d’une perquisition qui fait l’objet d’une opposition. Le dépôt d'une requête de levée des scellés n'est soumise à aucun délai particulier. L’AFC est par ailleurs indiscutablement légitimée à soumettre une telle requête à la Cour de céans. Il y a donc lieu d'entrer en matière.</w:t>
      </w:r>
    </w:p>
    <w:p>
      <w:r>
        <w:rPr>
          <w:b/>
        </w:rPr>
        <w:t>E. 2.1</w:t>
      </w:r>
    </w:p>
    <w:p>
      <w:r>
        <w:t>L'opposante se plaint implicitement d'une violation de l'art. 45 DPA. Elle soutient que les papiers relatifs à la banque E. ne sont pas visés par le mandat de perquisition du 15 juin 2015, dès lors qu'ils ne concernent pas un mandat à elle confié par un des prévenus.</w:t>
      </w:r>
    </w:p>
    <w:p>
      <w:r>
        <w:rPr>
          <w:b/>
        </w:rPr>
        <w:t>E. 2.2.1</w:t>
      </w:r>
    </w:p>
    <w:p>
      <w:r>
        <w:t>Selon l'art. 191 LIFD, lorsqu’il existe un soupçon fondé de graves infractions fiscales, d’assistance ou d’incitation à de tels actes, le chef du Département fédéral des finances peut autoriser l’AFC à mener une enquête en collaboration avec les administrations fiscales cantonales (al. 1). Par grave infraction fiscale, on entend en particulier la soustraction continue de montants importants d’impôt et les délits fiscaux (al. 2). La procédure dirigée contre les auteurs, complices et instigateurs est réglée d’après les dispositions des art. 19 à 50 DPA, l’arrestation provisoire selon l’art. 19 al. 3 DPA étant cependant exclue (art. 191 LIFD). Au nombre des mesures prévues par le DPA figure notamment la perquisition visant des papiers (art. 50 DPA).</w:t>
      </w:r>
    </w:p>
    <w:p>
      <w:r>
        <w:t>Aux termes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(art. 25 al. 1 DPA). Il y a lieu de relever que lorsqu'elle reçoit une</w:t>
      </w:r>
    </w:p>
    <w:p>
      <w:r>
        <w:t>- 4 -</w:t>
      </w:r>
    </w:p>
    <w:p>
      <w:r>
        <w:t>demande de levée des scellés, la Cour des plaintes se limite, dans un premier temps, à juger de l'admissibilité de la perquisition, la décision sur le sort des documents étant renvoyée à après leur tri (arrêt du Tribunal pénal fédéral BE.2006.5 du 19 septembre 2006, consid. 2).</w:t>
      </w:r>
    </w:p>
    <w:p>
      <w:r>
        <w:rPr>
          <w:b/>
        </w:rPr>
        <w:t>E. 2.2.2</w:t>
      </w:r>
    </w:p>
    <w:p>
      <w:r>
        <w:t>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 soit si l'administration est légitimée ou non à y avoir accès (arrêt du Tribunal fédéral 1B_671/2012 du 8 mai 2013, consid. 3.7.1 et les références citées). La perquisition de documents n'est admissible qu’en présence d’indices suffisants de l'existence d'une infraction (arrêt précité, ibidem). La nécessité de la perquisition doit être justifiée par des soupçons précis et objectivement fondés et non pas reposer sur une suspicion générale ou une prévention purement subjective. L'art. 46 al. 1 let. a DPA permet le séquestre d'objets pouvant servir de pièces à conviction. L'art. 48 al. 1 DPA prévoit en particulier qu'une perquisition peut être effectuée dans des locaux dans lesquels se trouvent des objets ou valeurs soumis au séquestre. Conformément à l'art. 45 DPA, les mesures précitées doivent respecter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pertinents pour l’enquête (arrêt du Tribunal pénal fédéral BK_B 062/04 du 7 juin 2004, consid. 2.1). Il est toutefois inévitable que la perquisition de papiers porte également sur des documents qui ne présentent aucun intérêt pour l'enquête (arrêt du Tribunal fédéral 1B_354/2009 et 1B_366/2009 du 2 mars 2010, consid. 3.2).</w:t>
      </w:r>
    </w:p>
    <w:p>
      <w:r>
        <w:rPr>
          <w:b/>
        </w:rPr>
        <w:t>E. 2.3</w:t>
      </w:r>
    </w:p>
    <w:p>
      <w:r>
        <w:t>L'opposante n'avance aucun élément qui permettrait de dénier l'existence, entre les faits investigués par l'AFC et les documents litigieux, d'un rapport de connexité suffisant pour justifier la perquisition de ces derniers. Au contraire, elle expose que B. est un ancien membre du conseil d'administration de la banque E. et que, de ce fait, il est vraisemblablement lié à celle-ci. Elle reconnaît même que des documents relatifs à cet établissement bancaire peuvent présenter un intérêt pour l'enquête menée par l'AFC. En outre, les circonstances dans lesquelles l'opposante est entrée</w:t>
      </w:r>
    </w:p>
    <w:p>
      <w:r>
        <w:t>- 5 -</w:t>
      </w:r>
    </w:p>
    <w:p>
      <w:r>
        <w:t>en possession des papiers litigieux sont dénuées de toute pertinence au regard des principes rappelés ci-dessus; peu importe donc que les documents en cause aient ou non été remis à l'intéressée dans le cadre de mandats confiés par un des inculpés. Il s'ensuit que le grief soulevé est mal fondé.</w:t>
      </w:r>
    </w:p>
    <w:p>
      <w:r>
        <w:rPr>
          <w:b/>
        </w:rPr>
        <w:t>E. 3</w:t>
      </w:r>
    </w:p>
    <w:p>
      <w:r>
        <w:t>Au vu de ce qui précède, la demande de levée des scellés est admise. L'AFC est autorisée à lever les scellés sur l’ensemble de la documentation saisie dans les locaux de l'opposante à Genève.</w:t>
      </w:r>
    </w:p>
    <w:p>
      <w:r>
        <w:rPr>
          <w:b/>
        </w:rPr>
        <w:t>E. 4</w:t>
      </w:r>
    </w:p>
    <w:p>
      <w:r>
        <w:t>L'opposante, qui succombe, supportera un émolument fixé à CHF 2'000.-- (art. 73 LOAP applicable par renvoi de l'art. 25 al. 4 DPA; art. 5 et 8 du règlement du Tribunal pénal fédéral du 31 août 2010 sur les frais, émoluments, dépens et indemnités de la procédure pénale fédérale;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