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BE.2015.11 vom 20. Oktober 2016</w:t>
      </w:r>
    </w:p>
    <w:p>
      <w:r>
        <w:t>Bundesstrafgericht, 2016-10-20, DE</w:t>
      </w:r>
    </w:p>
    <w:p>
      <w:r>
        <w:rPr>
          <w:b/>
        </w:rPr>
        <w:t xml:space="preserve">Quelle: </w:t>
      </w:r>
      <w:r>
        <w:t>https://mcp.opencaselaw.ch/entscheid/bstger_BE.2015.11</w:t>
      </w:r>
    </w:p>
    <w:p>
      <w:r>
        <w:t>FR: TPF BE.2015.11 du 20 octobre 2016</w:t>
      </w:r>
    </w:p>
    <w:p>
      <w:r>
        <w:t>IT: TPF BE.2015.11 del 20 ottobre 2016</w:t>
      </w:r>
    </w:p>
    <w:p>
      <w:pPr>
        <w:pStyle w:val="Heading2"/>
      </w:pPr>
      <w:r>
        <w:t>Regeste</w:t>
      </w:r>
    </w:p>
    <w:p>
      <w:r>
        <w:t>Entsiegelung (Art. 50 Abs. 3 VStrR).</w:t>
      </w:r>
    </w:p>
    <w:p>
      <w:pPr>
        <w:pStyle w:val="Heading2"/>
      </w:pPr>
      <w:r>
        <w:t>Erwägungen</w:t>
      </w:r>
    </w:p>
    <w:p>
      <w:r>
        <w:rPr>
          <w:b/>
        </w:rPr>
        <w:t>E. 1</w:t>
      </w:r>
    </w:p>
    <w:p>
      <w:r>
        <w:t>Widerhandlungen gegen das Mehrwertsteuergesetz werden nach diesem und nach dem VStrR verfolgt und beurteilt (Art. 103 Abs. 1 MWSTG; vgl. auch CAMENZIND/HONAUER/VALLENDER/JUNG/PROBST, Handbuch zum Mehrwertsteuergesetz [MWSTG], 3. Aufl., Bern 2012, N. 2696). Bei der In- landsteuer obliegt die Strafverfolgung hierbei der Gesuchstellerin (Art. 103 Abs. 2 MWSTG).</w:t>
      </w:r>
    </w:p>
    <w:p>
      <w:r>
        <w:t>- 4 -</w:t>
      </w:r>
    </w:p>
    <w:p>
      <w:r>
        <w:rPr>
          <w:b/>
        </w:rPr>
        <w:t>E. 2</w:t>
      </w:r>
    </w:p>
    <w:p>
      <w:r>
        <w:t>Mit der Replik vom 11. Januar 2016 hat die Gesuchstellerin ihr Entsiege- lungsgesuch insoweit zurückgezogen, als sie die Entsiegelung vom Inhalt des Schliessfaches bei der Bank D. beantragte. Mithin ist das Entsiegelungs- verfahren diesbezüglich zufolge Rückzugs des Entsiegelungsgesuches als erledigt abzuschreiben (vgl. Beschluss des Bundesstrafgerichts BV.2014.40 vom 24. Juli 2014, E. 1.4 betreffend Rückzug der Beschwerde).</w:t>
      </w:r>
    </w:p>
    <w:p>
      <w:r>
        <w:rPr>
          <w:b/>
        </w:rPr>
        <w:t>E. 3.1</w:t>
      </w:r>
    </w:p>
    <w:p>
      <w:r>
        <w:t>Gegenstände, die als Beweismittel von Bedeutung sein können, dürfen von der Untersuchungsbehörde beschlagnahmt bzw. vorläufig sichergestellt wer- den (Art. 46 Abs. 1 lit. a VStrR). Wohnungen und andere Räume dürfen durchsucht werden, wenn es wahrscheinlich ist, dass sich Gegenstände, die der Beschlagnahme unterliegen, darin befinden (Art. 48 Abs. 1 VStrR). Die Durchsuchung erfolgt auf Grund eines schriftlichen Befehls des Direktors oder Chefs der beteiligten Verwaltung (Art. 48 Abs. 3 VStrR). Der anwesende Inhaber der Räume ist über den Grund ihrer Durchsuchung zu unterrichten und zu dieser beizuziehen. Im weiteren ist die von der zuständigen kantona- len Behörde bezeichnete Amtsperson beizuziehen, die darüber wacht, dass sich die Massnahme nicht von ihrem Zweck entfernt (Art. 49 Abs. 2 VStrR).</w:t>
      </w:r>
    </w:p>
    <w:p>
      <w:r>
        <w:rPr>
          <w:b/>
        </w:rPr>
        <w:t>E. 3.2</w:t>
      </w:r>
    </w:p>
    <w:p>
      <w:r>
        <w:t>Papiere sind mit grösster Schonung der Privatgeheimnisse zu durchsuchen. Insbesondere sollen Papiere nur dann durchsucht werden, wenn anzuneh- men ist, dass sich Schriften darunter befinden, die für die Untersuchung von Bedeutung sind (Art. 50 Abs. 1 VStrR). Bei der Durchsuchung sind das Amts- geheimnis sowie Geheimnisse, die Geistlichen, Rechtsanwälten, Notaren, Ärzten, Apothekern, Hebammen und ihren beruflichen Gehilfen in ihrem Amte oder Beruf anvertraut wurden, zu wahren (Art. 50 Abs. 2 VStrR). Dem Inhaber der Papiere ist wenn immer möglich Gelegenheit zu geben, sich vor der Durchsuchung über ihren Inhalt auszusprechen. Erhebt er gegen die Durchsuchung Einsprache, so werden die Papiere versiegelt und verwahrt (Art. 50 Abs. 3 VStrR). Über die Zulässigkeit der Durchsuchung entscheidet dann (auf Gesuch der untersuchenden Verwaltungsstrafbehörde) die Be- schwerdekammer des Bundesstrafgerichts als Entsiegelungsgericht (Art. 50 Abs. 3 i.V.m. Art. 25 Abs. 1 VStrR und Art. 37 Abs. 2 lit. b StBOG).</w:t>
      </w:r>
    </w:p>
    <w:p>
      <w:r>
        <w:rPr>
          <w:b/>
        </w:rPr>
        <w:t>E. 3.3</w:t>
      </w:r>
    </w:p>
    <w:p>
      <w:r>
        <w:t>Stellt die Untersuchungsbehörde beim zuständigen Entsiegelungsrichter den Antrag, die von ihr versiegelten Unterlagen seien zu entsiegeln, prüft der Entsiegelungsrichter im Untersuchungsverfahren, ob die Geheimnisschutz- interessen, welche vom Inhaber der versiegelten Aufzeichnungen und Ge- genstände angerufen werden, einer Durchsuchung und weiteren strafpro- zessualen Verwendung durch die Strafverfolgungsbehörde entgegenstehen (Art. 50 Abs. 2-3 VStrR; Art. 248 Abs. 1 und Abs. 3 StPO; BGE 141 IV 77</w:t>
      </w:r>
    </w:p>
    <w:p>
      <w:r>
        <w:t>- 5 -</w:t>
      </w:r>
    </w:p>
    <w:p>
      <w:r>
        <w:t>E. 4.1 S. 81; 137 IV 189 E. 4 S. 194 f.; 132 IV 63 E. 4.1-4.6 S. 65 ff.). Die gebotene Ausscheidung der geheimnisgeschützten Unterlagen und die ent- sprechende Triage der sichergestellten Unterlagen ist durch den Entsiege- lungsrichter vorzunehmen, der dafür (nötigenfalls) sachverständige Perso- nen beiziehen kann (vgl. Art. 248 Abs. 4 StPO).</w:t>
      </w:r>
    </w:p>
    <w:p>
      <w:r>
        <w:rPr>
          <w:b/>
        </w:rPr>
        <w:t>E. 3.4</w:t>
      </w:r>
    </w:p>
    <w:p>
      <w:r>
        <w:t>Die Gesuchsgegner haben in ihrer Gesuchsantwort festgehalten, dass sie sich der Durchsuchung des Inhalts des zur Diskussion stehenden Schliess- fachs nicht widersetzen. Mithin hat die diesbezügliche Einsprache als zu- rückgezogen zu gelten. Vollständigkeitshalber sei erwähnt, dass die Ge- suchsgegner ohnehin weder bei ihrer Einsprache noch in der Gesuchsant- wort Geheimnisschutzinteressen geltend gemacht haben und dadurch ihrer Substantiierungsobliegenheit nicht nachgekommen sind. Diese dient der Vermeidung, dass das Entsiegelungsverfahren rechtsmissbräuchlich oder trölerisch in Anspruch genommen werden kann (vgl. Urteil des Bundesge- richts 1B_637/2012 vom 8. Mai 2013, E. 3.6.2; KELLER, in: Donatsch/Hans- jakob/Lieber [Hrsg.], Kommentar zur Schweizerischen Strafprozessordnung, 2. Aufl., Zürich/Basel/Genf 2014, Art. 246 N. 43a).</w:t>
      </w:r>
    </w:p>
    <w:p>
      <w:r>
        <w:rPr>
          <w:b/>
        </w:rPr>
        <w:t>E. 3.5</w:t>
      </w:r>
    </w:p>
    <w:p>
      <w:r>
        <w:t>Nach dem Gesagten ist das hiesige Verfahren betreffend den Inhalt des Schliessfaches bei der Bank C. Nr. 1 zufolge Rückzugs der Einsprache als gegenstandslos abzuschreiben.</w:t>
      </w:r>
    </w:p>
    <w:p>
      <w:r>
        <w:rPr>
          <w:b/>
        </w:rPr>
        <w:t>E. 4</w:t>
      </w:r>
    </w:p>
    <w:p>
      <w:r>
        <w:t>Die Gesuchsgegner führen in der Gesuchsantwort aus, dass sich im zur Dis- kussion stehenden Schliessfach auch Bargeld befindet. Indem sie im vorlie- genden Entsiegelungsverfahren die Herausgabe dieses Bargeldes verlan- gen, verkennen sie, dass der Streitgegenstand des hiesigen Verfahrens nicht frei bestimmbar ist. Im Entsiegelungsverfahren wird geprüft, ob die Ge- heimnisschutzinteressen, welche vom Inhaber der versiegelten Aufzeich- nungen und Gegenstände angerufen werden, einer Durchsuchung und wei- teren strafprozessualen Verwendung durch die Strafverfolgungsbehörde entgegenstehen. Ob die Voraussetzungen einer Beschlagnahme in casu er- füllt sind, kann das hiesige Gericht in der Regel nur auf Beschwerde gegen den entsprechenden Beschlagnahmebefehl hin prüfen (vgl. hierzu zuletzt die Beschlüsse des Bundesstrafgerichts BB.2014.192 vom 13. Mai 2015, E. 1.2; BB.2014.150 vom 4. Mai 2015, E. 6; jeweils mit Hinweis auf GUIDON, Die Beschwerde gemäss Schweizerischer Strafprozessordnung, Berner Diss., Zürich/St. Gallen 2011, N. 390 und 543). Da keine solche Beschwerde sei- tens der Gesuchsgegner vorliegt, ist mithin auf diesen Antrag nicht einzutre- ten.</w:t>
      </w:r>
    </w:p>
    <w:p>
      <w:r>
        <w:t>- 6 -</w:t>
      </w:r>
    </w:p>
    <w:p>
      <w:r>
        <w:rPr>
          <w:b/>
        </w:rPr>
        <w:t>E. 5</w:t>
      </w:r>
    </w:p>
    <w:p>
      <w:r>
        <w:t>Unter den vorliegenden Umständen sind keine Gerichtskosten zu erheben (vgl. Art. 66 Abs. 2 BGG analog [vgl. hierzu TPF 2011 25 E. 3]; Beschlüsse des Bundesstrafgerichts BE.2015.3 und BE.2015.4 vom 25. August 2015; BE.2014.10 vom 17. September 2014; BE.2014.12 und BE.2014.15 vom 4. September 2014). Da die Gesuchsgegner ihrer Substantiierungsobliegen- heit nicht nachgekommen sind (vgl. oben E. 3.4), gibt es auch keinen Grund eine Entschädigung zuzusprechen.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