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BE.2015.1 vom 17. November 2015</w:t>
      </w:r>
    </w:p>
    <w:p>
      <w:r>
        <w:t>Bundesstrafgericht, 2015-11-17, DE</w:t>
      </w:r>
    </w:p>
    <w:p>
      <w:r>
        <w:rPr>
          <w:b/>
        </w:rPr>
        <w:t xml:space="preserve">Quelle: </w:t>
      </w:r>
      <w:r>
        <w:t>https://mcp.opencaselaw.ch/entscheid/bstger_BE.2015.1</w:t>
      </w:r>
    </w:p>
    <w:p>
      <w:r>
        <w:t>FR: TPF BE.2015.1 du 17 novembre 2015</w:t>
      </w:r>
    </w:p>
    <w:p>
      <w:r>
        <w:t>IT: TPF BE.2015.1 del 17 novembre 2015</w:t>
      </w:r>
    </w:p>
    <w:p>
      <w:pPr>
        <w:pStyle w:val="Heading2"/>
      </w:pPr>
      <w:r>
        <w:t>Regeste</w:t>
      </w:r>
    </w:p>
    <w:p>
      <w:r>
        <w:t>Entsiegelung (Art. 50 Abs.3 VStrR).</w:t>
      </w:r>
    </w:p>
    <w:p>
      <w:pPr>
        <w:pStyle w:val="Heading2"/>
      </w:pPr>
      <w:r>
        <w:t>Erwägungen</w:t>
      </w:r>
    </w:p>
    <w:p>
      <w:r>
        <w:rPr>
          <w:b/>
        </w:rPr>
        <w:t>E. 1</w:t>
      </w:r>
    </w:p>
    <w:p>
      <w:r>
        <w:t>Für die Verfolgung und Beurteilung von Widerhandlungen gegen das Mehr- wertsteuergesetz ist grundsätzlich das VStrR anwendbar (art. 103 Abs. 1 MWSTG; CAMENZIND/HONAUER/VALLENDER/JUNG/PROBST, Hand- buch zum Mehrwertsteuergesetz [MWSTG], 3. Aufl., Bern 2012, N° 2696).</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d.h. die durchsuchende Behörde ist gehalten, den Inhaber über den Gegenstand des Verfahrens zu informieren, damit dieser sein Äusserungsrecht wirkungsvoll wahrnehmen kann. Erhebt er gegen die Durchsuchung Einsprache, so werden die Papiere vorläufig versiegelt und</w:t>
      </w:r>
    </w:p>
    <w:p>
      <w:r>
        <w:t>- 4 -</w:t>
      </w:r>
    </w:p>
    <w:p>
      <w:r>
        <w:t>verwahrt (Art. 50 Abs. 3 VStrR). Über die Zulässigkeit der Durchsuchung entscheidet die Beschwerdekammer des Bundesstrafgerichts (Art. 50 Abs. 3 VStrR i.V.m. Art. 37 Abs. 2 lit. b StBOG).</w:t>
      </w:r>
    </w:p>
    <w:p>
      <w:r>
        <w:rPr>
          <w:b/>
        </w:rPr>
        <w:t>E. 2.2</w:t>
      </w:r>
    </w:p>
    <w:p>
      <w:r>
        <w:t>Vorliegend hat die Gesuchstellerin eine teilweise Versiegelung der von der Gesuchsgegnerin eingereichten Unterlagen vorgenommen. Sie hat antrags- gemäss die sogenannten Management-Letters, konkret die ergänzende schriftliche Berichterstattung vom 13. April 2010 für die Periode 2008 und diejenige vom 16. Februar 2012 für die Periode 2010 versiegelt; die übrigen Unterlagen blieben unversiegelt. Die Gesuchsgegnerin hatte ihr Siegelungs- begehren damit begründet, dass die Verwendung der beiden Management- Letters das Vertrauensverhältnis zwischen ihr und dem Kunden stark belas- ten und beeinträchtigen würde. Diese sollten deshalb direkt bei den Betroffe- nen eingefordert werden, damit diese so ihre schutzwürdigen Interessen wahren könnten (act. 1.7 S. 6).</w:t>
      </w:r>
    </w:p>
    <w:p>
      <w:r>
        <w:rPr>
          <w:b/>
        </w:rPr>
        <w:t>E. 3</w:t>
      </w:r>
    </w:p>
    <w:p>
      <w:r>
        <w:t>Von einer Durchsuchung von Papieren, bei der es sich um eine strafpro- zessuale Zwangsmassnahme handelt, wird gesprochen, wenn Schriftstücke oder Datenträger im Hinblick auf ihren Inhalt oder ihre Beschaffenheit durch- gelesen bzw. besichtigt werden, um ihre Beweiseignung festzustellen und sie allenfalls mittels später erfolgender Beschlagnahme zu den Akten zu nehmen. Eine derartige Durchsuchung ist nur zulässig, wenn ein hinreichen- der Tatverdacht besteht, anzunehmen ist, dass sich unter den sichergestell- ten Papieren Schriften befinden, die für die Untersuchung von Bedeutung sind (Art. 50 Abs. 1 VStrR) und der Grundsatz der Verhältnismässigkeit res- pektiert wird. Die Durchsuchung von Papieren ist dabei mit grösster Scho- nung der Privatgeheimnisse und unter Wahrung der Berufs- und Amtsge- heimnisse durchzuführen (Art. 50 Abs. 1 und 2 VStrR; vgl. zum Ganzen TPF 2007 96 E. 2; Beschlüsse des Bundesstrafgerichts BE.2014.8 vom 16. Juni 2014, E. 2; BE.2013.10 vom 21. November 2013, E. 2).</w:t>
      </w:r>
    </w:p>
    <w:p>
      <w:r>
        <w:rPr>
          <w:b/>
        </w:rPr>
        <w:t>E. 4.1</w:t>
      </w:r>
    </w:p>
    <w:p>
      <w:r>
        <w:t>Voraussetzung für eine Entsiegelung ist somit ein hinreichender Tatverdacht für eine die Durchsuchung rechtfertigende Straftat, d.h. ein Sachverhalt muss ausreichend detailliert umschrieben werden, damit eine Subsumtion unter einen oder allenfalls auch alternativ unter mehrere Tatbestände des Strafrechts überhaupt nachvollziehbar vorgenommen werden kann. Sodann müssen ausreichende Beweismittel oder Indizien angegeben und vorgelegt werden, die diesen Sachverhalt stützen. In Abgrenzung zum dringenden setzt dabei der hinreichende Tatverdacht gerade nicht voraus, dass Beweise</w:t>
      </w:r>
    </w:p>
    <w:p>
      <w:r>
        <w:t>- 5 -</w:t>
      </w:r>
    </w:p>
    <w:p>
      <w:r>
        <w:t>oder Indizien bereits für eine erhebliche oder hohe Wahrscheinlichkeit einer Verurteilung sprechen (vgl. Entscheid des Bundesstrafgerichts BE.2006.7 vom 20. Februar 2007, E. 3.1 m.w.H.; die dort angeführten Überlegungen gelten gleichermassen auch für das Verwaltungsstrafverfahren, gibt es doch diesbezüglich keinen sachlichen Grund für eine unterschiedliche Rechtsan- wendung; vgl. zuletzt auch die Beschlüsse des Bundesstrafgerichts BE.2013.7 vom 6. November 2013, E. 3.1; BE.2013.6 vom 29. Okto- ber 2013, E. 3.1).</w:t>
      </w:r>
    </w:p>
    <w:p>
      <w:r>
        <w:rPr>
          <w:b/>
        </w:rPr>
        <w:t>E. 4.2</w:t>
      </w:r>
    </w:p>
    <w:p>
      <w:r>
        <w:t>Die Gesuchstellerin ermittelt wegen des Verdachts der Steuerhinterziehung (Art. 96 Abs. 1 MWSTG), des Abgabebetrugs (Art. 14 Abs. 2 VStrR) und der Verletzung der Verfahrenspflichten (Art. 98 MWSTG). Aus den Buchhal- tungsunterlagen soll sich ergeben, dass die B. GmbH möglicherweise einen Teil der Inlandverkäufe nicht oder nur unvollständig abgerechnet und folglich möglicherweise nicht oder nicht vollständig versteuert hat (act. 1.1). Zusam- menhängend wird der Verdacht des möglichen Abgabebetruges auf Grund der mutmasslich lückenhaften Buchhaltung vorgebracht. Die Verdachtslage rundet ab, dass der Beschuldigte C. bereits im Jahre 2007 mit seiner inzwi- schen Konkurs gegangenen Firma in eine Zollstrafuntersuchung verwickelt war (act. 1.1). Ob sich diese Tatverdachte entkräften oder erhärten, ist unter anderem durch die Sichtung der fraglichen Dokumente und Datenträger zu ermitteln. Nach dem Besagten ist von einem hinreichenden Tatverdacht aus- zugehen.</w:t>
      </w:r>
    </w:p>
    <w:p>
      <w:r>
        <w:rPr>
          <w:b/>
        </w:rPr>
        <w:t>E. 5.1</w:t>
      </w:r>
    </w:p>
    <w:p>
      <w:r>
        <w:t>Weiter ist zu prüfen, ob anzunehmen ist, dass sich unter den zu durchsu- chenden Dokumenten Schriften befinden, die für die Untersuchung von Be- deutung sind (vgl. Art. 50 Abs. 1 VStrR). Ein konkreter Sachzusammenhang zwischen den Ermittlungen und einzelnen noch versiegelten Dokumenten wird jedoch nicht verlangt. Es genügt, wenn die Untersuchungsbehörden aufzeigen, inwiefern die versiegelten Unterlagen grundsätzlich verfahrenser- heblich sind (vgl. Urteil des Bundesgerichts 1B_637/2012 vom 8. Mai 2013, E. 3.8.1. m.w.H.; TPF 2004 12 E 2.1).</w:t>
      </w:r>
    </w:p>
    <w:p>
      <w:r>
        <w:rPr>
          <w:b/>
        </w:rPr>
        <w:t>E. 5.2</w:t>
      </w:r>
    </w:p>
    <w:p>
      <w:r>
        <w:t>Die Gesuchstellerin macht geltend, dass die Management-Letters abschlies- sende Berichte über entdeckte Schwachstellen, Verbesserungsmöglichkei- ten etc. für die Geschäftsleitung darstellten, welche der Wirtschaftsprüfer bzw. Treuhänder als Ergebnis seiner Arbeit neben der Prüfung (mit Prü- fungsbericht und Bestätigungsvermerk) verfasse als Zusatznutzen für das geprüfte Unternehmen. Management-Letters könnten auch Äusserungen zu mehrwertsteuerrelevanten Sachverhalten enthalten und seien deshalb für</w:t>
      </w:r>
    </w:p>
    <w:p>
      <w:r>
        <w:t>- 6 -</w:t>
      </w:r>
    </w:p>
    <w:p>
      <w:r>
        <w:t>das vorliegende Verfahren von Bedeutung. Dieser Argumentation kann in- sofern gefolgt werden, als anzunehmen ist, dass in ein Management-Letter eben gerade ein Mehr an Information und Beurteilung einfliesst als dies beim Jahresabschluss und den gesetzlich vorgeschriebenen Unterlagen und Er- klärungen der Fall ist. Ob sich darin zusätzliche Erkenntnisse oder gar be- weismässig Verwertbares für das Strafverfahren findet, lässt sich zum Vorn- herein jedenfalls nicht ausschliessen. Eine mögliche Eignung im Sinne von Hinweisen für die weitere Untersuchung bzw. als Beweis genügt aber, um der Durchsuchung grundsätzlich statt zu geben.</w:t>
      </w:r>
    </w:p>
    <w:p>
      <w:r>
        <w:rPr>
          <w:b/>
        </w:rPr>
        <w:t>E. 5.3</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 Die Gesuchs- gegnerin wendet weder ein Zeugnisverweigerungsrecht noch schützens- werte Geschäftsgeheimnisse gegen die Durchsuchung ein. Amts- oder Be- rufsgeheimnisse im Sinne des Art. 50 Abs. 2 VStrR oder überwiegende Pri- vatgeheimnisse, die einer Durchsuchung der sichergestellten Unterlagen entgegenstehen würden, sind auch nicht ersichtlich.</w:t>
      </w:r>
    </w:p>
    <w:p>
      <w:r>
        <w:rPr>
          <w:b/>
        </w:rPr>
        <w:t>E. 5.4</w:t>
      </w:r>
    </w:p>
    <w:p>
      <w:r>
        <w:t>Die Gesuchsgegnerin macht einzig geltend, das Vertrauensverhältnis zwi- schen ihr und ihrem Kunden werde beeinträchtigt und die Gesuchstellerin könne die Management-Letters ja bei den Beschuldigten bzw. der B. GmbH erheben. Beide Einwendungen sind unbeachtlich. Das Vertrauensverhältnis zwischen dem Inhaber zu durchsuchender Unterlagen (hier der Gesuchs- gegnerin) und ihrem Mandanten ist kein Kriterium, wenn es um die Frage der Zulässigkeit der Durchsuchung und späteren Beschlagnahme geht. Auch das Argument, die Gesuchstellerin hätte ja diese Unterlagen direkt bei der B. GmbH oder den Beschuldigten erheben können, ist nicht stichhaltig: Es ist der Strafverfolgungsbehörde grundsätzlich freigestellt – im Rahmen der Respektierung von Zeugnisverweigerungspflichten und des Verhältnismäs- sigkeitsgebots beim Vorgehen -, wo sie mögliche Beweismittel sicherstellen will. Abgesehen davon ist nicht erstellt, dass die fraglichen Unterlagen bei den Beschuldigten bzw. der B. GmbH vorhanden waren bzw. es noch sind.</w:t>
      </w:r>
    </w:p>
    <w:p>
      <w:r>
        <w:t>- 7 -</w:t>
      </w:r>
    </w:p>
    <w:p>
      <w:r>
        <w:rPr>
          <w:b/>
        </w:rPr>
        <w:t>E. 6</w:t>
      </w:r>
    </w:p>
    <w:p>
      <w:r>
        <w:t>Nach dem Gesagten ist das Entsiegelungsgesuch gutzuheissen, und es ist die Gesuchstellerin zu ermächtigen, die versiegelten Dokumente zu entsie- geln und zu durchsuchen.</w:t>
      </w:r>
    </w:p>
    <w:p>
      <w:r>
        <w:rPr>
          <w:b/>
        </w:rPr>
        <w:t>E. 7</w:t>
      </w:r>
    </w:p>
    <w:p>
      <w:r>
        <w:t>Bei diesem Ausgang des Verfahrens hat die Gesuchsgegnerin als unterlie- gende Partei die Gerichtskosten zu tragen (Art. 25 Abs. 4 VStrR i.V.m. Art. 66 Abs. 1 BGG analog, siehe dazu TPF 2011 25 E. 3). Die Gerichtsge- bühr ist auf Fr. 1'500.-- festzusetzen (Art. 5 und 8 Abs. 1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