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BE.2014.5 vom 22. Juli 2014</w:t>
      </w:r>
    </w:p>
    <w:p>
      <w:r>
        <w:t>Bundesstrafgericht, 2014-07-22, FR</w:t>
      </w:r>
    </w:p>
    <w:p>
      <w:r>
        <w:rPr>
          <w:b/>
        </w:rPr>
        <w:t xml:space="preserve">Quelle: </w:t>
      </w:r>
      <w:r>
        <w:t>https://mcp.opencaselaw.ch/entscheid/bstger_BE.2014.5</w:t>
      </w:r>
    </w:p>
    <w:p>
      <w:r>
        <w:t>FR: TPF BE.2014.5 du 22 juillet 2014</w:t>
      </w:r>
    </w:p>
    <w:p>
      <w:r>
        <w:t>IT: TPF BE.2014.5 del 22 luglio 2014</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par ailleurs indiscutablement légitimée à soumettre une telle requête à la Cour de céans.</w:t>
      </w:r>
    </w:p>
    <w:p>
      <w:r>
        <w:t>- 5 -</w:t>
      </w:r>
    </w:p>
    <w:p>
      <w:r>
        <w:rPr>
          <w:b/>
        </w:rPr>
        <w:t>E. 1.2</w:t>
      </w:r>
    </w:p>
    <w:p>
      <w:r>
        <w:t>En tant que détentrice de la documentation bancaire produite, la banque A. est – formellement – légitimée à s'opposer à la perquisition de ladite docu- mentation (v. arrêt du Tribunal fédéral 1B_547/2012 du 26 février 2013).</w:t>
      </w:r>
    </w:p>
    <w:p>
      <w:r>
        <w:rPr>
          <w:b/>
        </w:rPr>
        <w:t>E. 1.3</w:t>
      </w:r>
    </w:p>
    <w:p>
      <w:r>
        <w:t>S'agissant de B., des sociétés D. SA, C. SCS et E. Ltd, titulaires des comp- tes dont la documentation a été remise sous scellés à l'AFC par la banque A., leur démarche devant l'autorité de céans soulève la question de la légi- timation à prendre part à la présente procédure de levée des scellés. A la lumière de la jurisprudence récente, il n'est pas exclu que la réponse pût être affirmative (v. arrêt du Tribunal fédéral 1B_567/2012 du 26 février 2013, consid. 1.1 in fine). Quoi qu'il en soit, et dès lors que les arguments invoqués par les intervenants pour s'opposer à la levée des scellés – soit l'absence de soupçon fondé de grave infraction fiscale, le caractère dispro- portionné des mesures prononcées par l'AFC, ainsi que l'atteinte au statut diplomatique de B. – sont de toute manière privés de fondement, la ques- tion de la légitimation des quatre "intervenants" peut en l'état demeurer in- décise. Quant à leur demande "préalable" de suspension de la procédure en attente de chose jugée dans la cause BE.2014.1 (v. supra let. C), elle est sans objet, la Cour ayant rendu la décision y relative en date du 18 juillet 2014.</w:t>
      </w:r>
    </w:p>
    <w:p>
      <w:r>
        <w:rPr>
          <w:b/>
        </w:rPr>
        <w:t>E. 2</w:t>
      </w:r>
    </w:p>
    <w:p>
      <w:r>
        <w:t>mars 2010, consid. 3.2).</w:t>
      </w:r>
    </w:p>
    <w:p>
      <w:r>
        <w:t>- 7 -</w:t>
      </w:r>
    </w:p>
    <w:p>
      <w:r>
        <w:t>Si l'opposante reconnaît ne pas être habilitée à se prévaloir de dispositions relatives à d'éventuels secrets destinées à protéger la personne visée (v. supra let. C in fine), elle indique néanmoins expressément "se référer" aux observations de B. et consorts, pour – en fin de compte – s'en "re- mettre à la justice" (act. 5, p. 2). Ledit B. – soutenu en cela par ses con- sorts – fait pour sa part valoir que les investigations diligentées par l'AFC le seraient alors même qu'aucun soupçon fondé de graves infractions fiscales n'existerait à son encontre; les règles de droit international relatives au sta- tut diplomatique n'auraient par ailleurs pas été respectées (act. 2, p. 13 s.).</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w:t>
      </w:r>
    </w:p>
    <w:p>
      <w:r>
        <w:t>- 6 -</w:t>
      </w:r>
    </w:p>
    <w:p>
      <w:r>
        <w:t>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 sence d’indices suffisants de l'existence d'une infraction (arrêt du précité, ibidem). La nécessité de la perquisition doit être justifiée par des soupçons précis et objectivement fondés et non pas reposer sur une suspicion géné- rale ou une prévention purement subjective. L'art. 46 al. 1 let. a DPA per- met le séquestre d'objets pouvant servir de pièces à conviction. L'art. 48 al. 1 DPA prévoit en particulier qu'une perquisition peut être effectuée dans 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 nents pour l’enquête (arrêt du Tribunal pénal fédéral BK_B 062/04 du 7 juin 2004, consid. 2.1). Il est toutefois inévitable que la perquisition de papiers porte également sur des documents qui ne présentent aucun intérêt pour l'enquête (arrêt du Tribunal fédéral 1B_354/2009 et 1B_366/2009 du</w:t>
      </w:r>
    </w:p>
    <w:p>
      <w:r>
        <w:rPr>
          <w:b/>
        </w:rPr>
        <w:t>E. 3.1</w:t>
      </w:r>
    </w:p>
    <w:p>
      <w:r>
        <w:t>A l’appui de sa requête de levée des scellés, l’AFC énumère certains faits à l’origine de l’ouverture de l’enquête pénale fiscale actuellement diligentée contre B. La requérante précise dans son exposé que "[l]'opposante étant un tiers par rapport à B., l'AFC se limite expressément à une description du soupçon relativement peu détaillée, en se fondant sur les rapports finan- ciers annuels […] de la société F. SA", et ce dans la mesure où "[l]a divul- gation à des tiers des faits reprochés à l'inculpé va en principe à l'encontre du secret fiscal (art. 110 LIFD)" (act. 1, p. 4).</w:t>
      </w:r>
    </w:p>
    <w:p>
      <w:r>
        <w:t>Il ressort ainsi des éléments au dossier que la requérante soupçonne B. d'avoir commis des soustractions continues de montants importants d'impôt durant les périodes fiscales 2003 à 2011. Selon les informations dont dis- pose l'AFC à ce stade, la société F. SA, sise à Paris, verse fréquemment, en sus d'un dividende ordinaire, un dividende exceptionnel à ses actionnai- res. Les rapports annuels de la société figurant au dossier exposent que, entre 2004 et 2008, des dividendes "exceptionnels" à hauteur de CHF 0.82, 0.73, 0.72, 0.26 et 0.28 par action ont été versés. Or il apparaîtrait que B. aurait en mains un nombre conséquent d'actions F. SA mais n'aurait jamais annoncé à l'autorité fiscale la perception d'un quelconque dividende excep- tionnel pour les années en question. C'est ainsi plusieurs millions de francs suisses qui n'auraient pas été déclarés aux autorités fiscales par B. (act. 1, p. 4.). Par ailleurs, ce dernier aurait bénéficié d'actions gratuites et d'op- tions d'achat d'actions à hauteur de plusieurs millions de francs suisses, dont les revenus n'ont pas non plus été annoncés au fisc. A cela s'ajoute le fait qu'un compte libellé au nom de G. Ltd, sise dans les Iles vierges britan- niques, aurait été crédité de "revenus de source inconnue" non déclarés à l'autorité. Or il appert que la société en question serait détenue par un trust dont le bénéficiaire n'est autre que B. (act. 1, p. 4). Ici encore, l'AFC estime à plusieurs millions de francs suisses les montants soustraits à l'impôt.</w:t>
      </w:r>
    </w:p>
    <w:p>
      <w:r>
        <w:t>- 8 -</w:t>
      </w:r>
    </w:p>
    <w:p>
      <w:r>
        <w:t>En sus de ce qui précède, l'AFC soupçonne B. de détenir des participations – indirectes – dans certaines sociétés luxembourgeoises – au nombre des- quelles C. SCS, H., D. SA et I. SA – dont il n'aurait pas déclaré l'existence aux autorités fiscales helvétiques, et partant les revenus potentiellement imposables (act. 1, p. 4).</w:t>
      </w:r>
    </w:p>
    <w:p>
      <w:r>
        <w:t>Sur la base des éléments qui précèdent, l'AFC estime – au stade actuel de ses investigations – que les montants des revenus imposables non décla- rés par B. au cours des exercices 2003 à 2011 s'élèveraient à plusieurs millions de francs suisses (ibidem).</w:t>
      </w:r>
    </w:p>
    <w:p>
      <w:r>
        <w:rPr>
          <w:b/>
        </w:rPr>
        <w:t>E. 3.2.1</w:t>
      </w:r>
    </w:p>
    <w:p>
      <w:r>
        <w:t>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au prévenu, mais se limite à statuer sur l’admissibilité de la perquisition (v. supra consid. 2.1.1 et 2.1.2), d’une part, et que, dans les premiers temps de l’enquête, des soup- çons même encore peu précis peuvent être considérés comme suffisants, d’autre part (arrêt du Tribunal pénal fédéral BE.2004.10 du 22 avril 2005, consid. 3.1 in fine). En l'espèce, l'AFC fournit des explications aussi détail- lées que l'y autorise le respect du secret fiscal à l'appui des soupçons allé- gués, en se fondant notamment sur des rapports officiels de la société F. SA dont les actionnaires ont, à l'une ou l'autre reprise, octroyé à B. des droits qui, selon l'appréciation actuelle des autorités fiscales suisses, au- raient dû avoir des conséquences fiscales s'ils avaient été dûment décla- rés. Les soupçons ne reposent donc pas sur une prévention purement sub- jective. A ce stade de la procédure, ces soupçons paraissent précis et ob- jectivement fondés. Il existe donc des indices suffisants d'infractions fisca- les.</w:t>
      </w:r>
    </w:p>
    <w:p>
      <w:r>
        <w:rPr>
          <w:b/>
        </w:rPr>
        <w:t>E. 3.2.2</w:t>
      </w:r>
    </w:p>
    <w:p>
      <w:r>
        <w:t>Cela étant précisé, il apparaît que la condition de l’importance présumée des papiers et autres supports de données saisis pour l’enquête pénale fis- cale en cours est également réalisée dans le cas d’espèce. A cet égard, la jurisprudence impose à l’autorité d'examiner si les documents dont la levée des scellés est requise présentent "apparemment" une pertinence pour l’instruction en cours (v. arrêt du Tribunal fédéral 1B_354/2009 et 1B_366/2009 du 2 mars 2010, consid. 3.2), étant précisé que pareille ques- tion "ne peut être résolue dans le détail, puisque le contenu même des do- cuments mis sous scellés n’est pas encore connu", d’une part, et que</w:t>
      </w:r>
    </w:p>
    <w:p>
      <w:r>
        <w:t>- 9 -</w:t>
      </w:r>
    </w:p>
    <w:p>
      <w:r>
        <w:t>"l’autorité de levée des scellés doit s’en tenir, à ce stade, au principe de l'utilité potentielle", d’autre part (ibidem).</w:t>
      </w:r>
    </w:p>
    <w:p>
      <w:r>
        <w:t>En l’espèce, il apparaît que les éléments exposés par l’AFC à l’appui de sa demande – lesquels viennent d’être rappelés (v. supra consid. 3.1) –, suffi- sent à admettre l’utilité à tout le moins potentielle de l’ensemble des docu- ments et supports de données saisis. Si pareille utilité doit déjà être recon- nue pour les documents relatifs aux sociétés dont le prévenu B. est soup- çonné d'avoir perçu des revenus non déclarés au fisc (v. supra consid. 3.1), ou aux sociétés dans lesquelles ledit B. est impliqué en tant qu’administrateur, actionnaire et/ou ayant droit, il en va de même de tous les autres documents, soit ceux concernant notamment des sociétés tier- ces, lesquelles peuvent néanmoins se révéler utiles à l’enquête, certaines entités pouvant en effet avoir joué un rôle – encore à déterminer – dans les opérations sous enquête. Par ailleurs, les opérations mentionnées par la requérante comme ayant échappé à toute imposition, ne constituent que des exemples, et on comprend aisément que l’autorité s’intéresse à l’ensemble des affaires menées par B. Ainsi, dans un contexte de soustrac- tions d’impôt de grande envergure, l’autorité d’enquête peut légitimement vouloir vérifier que l’ensemble des documents et supports de données sai- sis dans les locaux de l'opposante ne font pas état d’opérations suspectes qu’elle ne connaît pas encore.</w:t>
      </w:r>
    </w:p>
    <w:p>
      <w:r>
        <w:rPr>
          <w:b/>
        </w:rPr>
        <w:t>E. 4</w:t>
      </w:r>
    </w:p>
    <w:p>
      <w:r>
        <w:t>La Cour de céans a eu l’occasion de préciser – et cela a notamment été rappelé dans la jurisprudence du Tribunal fédéral citée plus haut (v. supra consid. 3.2) – que s’il s’impose de sauvegarder le secret professionnel au sens de l’art. 321 CP, le tri des documents mis sous scellés doit être effec- tué sous son contrôle en présence du détenteur des papiers et avec la par- ticipation du magistrat, respectivement de l’enquêteur en charge du dos- sier. En l’espèce, aucun secret du genre n’existe, ni n’a d’ailleurs été allé- gué. L'intervenant B. fait toutefois valoir qu'il serait au bénéfice d'une im- munité diplomatique.</w:t>
      </w:r>
    </w:p>
    <w:p>
      <w:r>
        <w:rPr>
          <w:b/>
        </w:rPr>
        <w:t>E. 4.1</w:t>
      </w:r>
    </w:p>
    <w:p>
      <w:r>
        <w:t>Il appert à cet égard que ce dernier est titulaire – à tout le moins l'était-il au moment du dépôt de ses écritures – d'une "carte de légitimation du DFAE de type 'S'" (v. décision du Tribunal pénal fédéral BV.2013.27 à 30 / 32 à 38 du 3 juillet 2014, consid. 3.1) et ce au titre de "[p]ersonnel administratif [de la] Mission permanente du pays Z. auprès de l'ONU à Genève" (ibi- dem). Ne peuvent être titulaires d'une telle autorisation que les membres du personnel de nationalité suisse, respectivement les fonctionnaires de nationalité suisse (ibidem).</w:t>
      </w:r>
    </w:p>
    <w:p>
      <w:r>
        <w:t>- 10 -</w:t>
      </w:r>
    </w:p>
    <w:p>
      <w:r>
        <w:t>Selon l'art. 38 al. 2 de la Convention de Vienne sur les relations diplomati- ques du 18 avril 1961 (CVRD; RS 0.191.01) – convention applicable en l'espèce (v. arrêt du Tribunal fédéral 1B_332/2013 du 20 décembre 2013, consid. 3) –, les "autres membres du personnel de la mission" qui sont res- sortissants de l’Etat accréditaire ou qui y ont leur résidence permanente ne bénéficient des privilèges et immunités que dans la mesure où cet Etat les leur reconnaît. En l'occurrence, et au vu du libellé de sa carte de légitima- tion, il ne saurait être contesté que l'intervenant B. entre dans la catégorie des "membres du personnel de la mission" au sens de l'art. 1 let. c et f CVRD. Partant, et au vu de la prise de position expresse du DFAE eu égard à l'étendue des privilèges et immunités conférées à ce dernier, force est de constater qu'il ne bénéfice que d'une immunité "fonctionnelle", la- quelle ne saurait en rien le protéger contre les poursuites diligentées par l'AFC dans un cadre strictement privé (décision du Tribunal pénal fédéral précitée, consid. 3.2).</w:t>
      </w:r>
    </w:p>
    <w:p>
      <w:r>
        <w:rPr>
          <w:b/>
        </w:rPr>
        <w:t>E. 4.2</w:t>
      </w:r>
    </w:p>
    <w:p>
      <w:r>
        <w:t>L'argument tiré de la prétendue immunité diplomatique de l'intervenant B. se révèle partant manifestement mal fondé. Dans ces circonstances, il n’y a pas lieu de faire droit à sa demande tendant à ce que l’autorité de céans procède au tri des documents sous scellés en présence des parties. C’est bien plutôt à l’autorité requérante qu’il incombera d’effectuer elle-même ce tri, opération à l’issue de laquelle elle désignera les pièces qui seront ver- sées au dossier et celles qui, le cas échéant, seront restituées à l’opposante, faute de pertinence pour l’enquête.</w:t>
      </w:r>
    </w:p>
    <w:p>
      <w:r>
        <w:rPr>
          <w:b/>
        </w:rPr>
        <w:t>E. 5</w:t>
      </w:r>
    </w:p>
    <w:p>
      <w:r>
        <w:t>Au vu de ce qui précède, la demande de levée des scellés est admise. L'AFC est autorisée à lever les scellés sur l’ensemble de la documentation produite par l'opposante en date du 31 janvier 2014.</w:t>
      </w:r>
    </w:p>
    <w:p>
      <w:r>
        <w:rPr>
          <w:b/>
        </w:rPr>
        <w:t>E. 6</w:t>
      </w:r>
    </w:p>
    <w:p>
      <w:r>
        <w:t>L'opposante ainsi que B. et consorts succombent à la présente procédure. Ils supporteront, pour moitié à charge de la première, et pour l'autre moitié à celle des suivants, solidairement, un émolument lequel est fixé à CHF 2'000.-- (art. 73 LOAP applicable par renvoi de l'art. 25 al. 4 DPA; art. 5 et 8 du règlement du Tribunal pénal fédéral du 31 août 2010 sur les frais, émoluments, dépens et indemnités de la procédure pénale fédérale;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