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BE.2014.2 vom 22. Juli 2014</w:t>
      </w:r>
    </w:p>
    <w:p>
      <w:r>
        <w:t>Bundesstrafgericht, 2014-07-22, FR</w:t>
      </w:r>
    </w:p>
    <w:p>
      <w:r>
        <w:rPr>
          <w:b/>
        </w:rPr>
        <w:t xml:space="preserve">Quelle: </w:t>
      </w:r>
      <w:r>
        <w:t>https://mcp.opencaselaw.ch/entscheid/bstger_BE.2014.2</w:t>
      </w:r>
    </w:p>
    <w:p>
      <w:r>
        <w:t>FR: TPF BE.2014.2 du 22 juillet 2014</w:t>
      </w:r>
    </w:p>
    <w:p>
      <w:r>
        <w:t>IT: TPF BE.2014.2 del 22 luglio 2014</w:t>
      </w:r>
    </w:p>
    <w:p>
      <w:pPr>
        <w:pStyle w:val="Heading2"/>
      </w:pPr>
      <w:r>
        <w:t>Regeste</w:t>
      </w:r>
    </w:p>
    <w:p>
      <w:r>
        <w:t>Levée des scellés (art. 50 al. 3 DPA).</w:t>
      </w:r>
    </w:p>
    <w:p>
      <w:pPr>
        <w:pStyle w:val="Heading2"/>
      </w:pPr>
      <w:r>
        <w:t>Erwägungen</w:t>
      </w:r>
    </w:p>
    <w:p>
      <w:r>
        <w:rPr>
          <w:b/>
        </w:rPr>
        <w:t>E. 1.1</w:t>
      </w:r>
    </w:p>
    <w:p>
      <w:r>
        <w:t>A teneur des art. 25 al. 1 et 50 al. 3 DPA, la Cour des plaintes du Tribunal pénal fédéral est compétente pour statuer sur l’admissibilité d’une perquisi- tion qui fait l’objet d’une opposition. Contrairement à ce qui est le cas sous l'empire du Code de procédure pénale (art. 248 al. 2 CPP), la levée des scellés requise en application du DPA n’est soumise à aucun délai particu- lier. N'en déplaise à l'opposante, il n'y a là aucune lacune qui devrait être comblée (v. arrêt du Tribunal fédéral 1B_672/2012 du 8 mai 2013, consid. 3.1). L’AFC est par ailleurs indiscutablement légitimée à soumettre une telle requête à la Cour de céans.</w:t>
      </w:r>
    </w:p>
    <w:p>
      <w:r>
        <w:rPr>
          <w:b/>
        </w:rPr>
        <w:t>E. 1.2</w:t>
      </w:r>
    </w:p>
    <w:p>
      <w:r>
        <w:t>En tant que propriétaire, respectivement occupante des locaux ayant fait l'objet de la mesure de perquisition par l'AFC en date du 27 novembre 2013, A. SA est légitimée à s'opposer à ladite perquisition (v. arrêt du Tri- bunal fédéral 1B_232/2009 du 25 février 2010, consid. 4.2).</w:t>
      </w:r>
    </w:p>
    <w:p>
      <w:r>
        <w:rPr>
          <w:b/>
        </w:rPr>
        <w:t>E. 2.1.1</w:t>
      </w:r>
    </w:p>
    <w:p>
      <w:r>
        <w:t>Selon l'art. 191 LIFD, lorsqu’il existe un soupçon fondé de graves infrac- tions fiscales, d’assistance ou d’incitation à de tels actes, le chef du Dépar- tement fédéral des finances peut autoriser l’AFC à mener une enquête en collaboration avec les administrations fiscales cantonales (al. 1). Par grave infraction fiscale, on entend en particulier la soustraction continue de mon- tants importants d’impôt et les délits fiscaux (al. 2). La procédure dirigée contre les auteurs, complices et instigateurs est réglée d’après les disposi- tions des art. 19 à 50 DPA, l’arrestation provisoire selon l’art. 19 al. 3 DPA étant cependant exclue (art. 191 LIFD). Au nombre des mesures prévues par le DPA figure notamment la perquisition visant des papiers (art. 50 DPA).</w:t>
      </w:r>
    </w:p>
    <w:p>
      <w:r>
        <w:t>Selon l'art. 50 DPA, la perquisition visant des papiers doit être opérée avec les plus grands égards pour les secrets privés; en particulier, les papiers ne seront examinés que s’ils contiennent apparemment des écrits importants</w:t>
      </w:r>
    </w:p>
    <w:p>
      <w:r>
        <w:t>- 4 -</w:t>
      </w:r>
    </w:p>
    <w:p>
      <w:r>
        <w:t>pour l’enquête (al. 1). La perquisition doit être opérée de manière à sauve- garder le secret de fonction, ainsi que les secrets confiés aux ecclésiasti- ques, avocats, notaires, médecins, pharmaciens, sages-femmes et à leurs auxiliaires, en vertu de leur ministère ou de leur profession (al. 2). Avant la perquisition, le détenteur des papiers est, chaque fois que cela est possi- ble, mis en mesure d’en indiquer le contenu. S’il s’oppose à la perquisition, les papiers sont mis sous scellés et déposés en lieu sûr; la Cour des plain- tes du Tribunal pénal fédéral statue sur l’admissibilité de la perquisition (art. 25 al. 1 DPA). Il y a lieu de relever que lorsqu'elle reçoit une demande de levée des scellés, la Cour des plaintes se limite, dans un premier temps, à juger de l'admissibilité de la perquisition, la décision sur le sort des do- cuments étant renvoyée à après leur tri (arrêt du Tribunal pénal fédéral BE.2006.5 du 19 septembre 2006, consid. 2).</w:t>
      </w:r>
    </w:p>
    <w:p>
      <w:r>
        <w:rPr>
          <w:b/>
        </w:rPr>
        <w:t>E. 2.1.2</w:t>
      </w:r>
    </w:p>
    <w:p>
      <w:r>
        <w:t>Dans le cadre d'une demande de levée des scellés selon l'art. 50 al. 3 DPA, la Cour des plaintes du Tribunal pénal fédéral n'a pas à se prononcer sur la réalisation des infractions reprochées au prévenu; elle se limite à dé- terminer si la perquisition concernant les documents mis sous scellés est admissible, soit si l'administration est légitimée ou non à y avoir accès (ar- rêt du Tribunal fédéral 1B_671/2012 du 8 mai 2013, consid. 3.7.1 et les ré- férences citées). La perquisition de documents n'est admissible qu’en pré- sence d’indices suffisants de l'existence d'une infraction (arrêt du précité, ibidem). La nécessité de la perquisition doit être justifiée par des soupçons précis et objectivement fondés et non pas reposer sur une suspicion géné- rale ou une prévention purement subjective. L'art. 46 al. 1 let. a DPA per- met le séquestre d'objets pouvant servir de pièces à conviction. L'art. 48 al. 1 DPA prévoit en particulier qu'une perquisition peut être effectuée dans des locaux dans lesquels se trouvent des objets ou valeurs soumis au sé- questre. Conformément à l'art. 45 DPA, les mesures précitées doivent res- pecter le principe de la proportionnalité. L'objet de la perquisition doit être circonscrit de façon précise afin que l'on puisse contrôler sa connexité avec le soupçon précis et objectivement fondé qui pèse sur l'accusé et vérifier également le respect du principe de la proportionnalité (arrêt du Tribunal fédéral précité, consid. 3.8.1). La saisie de documents suppose en outre que ceux-ci soient importants pour l’instruction de la cause (art. 50 al. 1 DPA). Cette règle ne doit pas être interprétée de manière restrictive et, comme la formulation allemande le suggère de manière plus nuancée ("… Papiere … die für die Untersuchung von Bedeutung sind"), elle signifie simplement que des documents ne peuvent être saisis que s’ils sont perti- nents pour l’enquête (arrêt du Tribunal pénal fédéral BK_B 062/04 du 7 juin 2004, consid. 2.1). Il est toutefois inévitable que la perquisition de papiers porte également sur des documents qui ne présentent aucun intérêt pour</w:t>
      </w:r>
    </w:p>
    <w:p>
      <w:r>
        <w:t>- 5 -</w:t>
      </w:r>
    </w:p>
    <w:p>
      <w:r>
        <w:t>l'enquête (arrêt du Tribunal fédéral 1B_354/2009 et 1B_366/2009 du 2 mars 2010, consid. 3.2).</w:t>
      </w:r>
    </w:p>
    <w:p>
      <w:r>
        <w:rPr>
          <w:b/>
        </w:rPr>
        <w:t>E. 2.2</w:t>
      </w:r>
    </w:p>
    <w:p>
      <w:r>
        <w:t>L'opposante relève en substance que les perquisitions diligentées par l'AFC l'auraient été alors même qu'aucun soupçon fondé de graves infrac- tions fiscales n'existerait à l'encontre du prévenu; les règles de droit inter- national relatives au statut diplomatique n'auraient par ailleurs pas été res- pectées (act. 2, p. 13 s.).</w:t>
      </w:r>
    </w:p>
    <w:p>
      <w:r>
        <w:rPr>
          <w:b/>
        </w:rPr>
        <w:t>E. 3.1</w:t>
      </w:r>
    </w:p>
    <w:p>
      <w:r>
        <w:t>A l’appui de sa requête de levée des scellés, l’AFC énumère certains faits à l’origine de l’ouverture de l’enquête pénale fiscale actuellement diligentée contre B. La requérante précise dans son exposé que "[l]'opposante étant un tiers par rapport à M. B., l'AFC se limite expressément à une description du soupçon relativement peu détaillée, en se fondant sur les rapports fi- nanciers annuels […] de la société C. SA", et ce dans la mesure où "[l]a di- vulgation à des tiers des faits reprochés à l'inculpé va en principe à l'en- contre du secret fiscal (art. 110 LIFD)" (act. 1, p. 4).</w:t>
      </w:r>
    </w:p>
    <w:p>
      <w:r>
        <w:t>Il ressort ainsi des éléments au dossier que la requérante soupçonne B. d'avoir commis des soustractions continues de montants importants d'impôt durant les périodes fiscales 2003 à 2011. Selon les informations dont dis- pose l'AFC à ce stade, la société C. SA sise à Paris, verse fréquemment, en sus d'un dividende ordinaire, un dividende exceptionnel à ses actionnai- res. Les rapports annuels de la société figurant au dossier exposent que, entre 2004 et 2008, des dividendes "exceptionnels" à hauteur de CHF 0.82, 0.73, 0.72, 0.26 et 0.28 par action ont été versés. Or il apparaîtrait que B. aurait en mains un nombre conséquent d'actions C. SA mais n'aurait ja- mais annoncé à l'autorité fiscale la perception d'un quelconque dividende exceptionnel pour les années en question. C'est ainsi plusieurs millions de francs suisses qui n'auraient pas été déclarés aux autorités fiscales par B. (act. 1, p. 3 in fine). Par ailleurs, ce dernier aurait bénéficié d'actions gratui- tes et d'options d'achat d'actions à hauteur de plusieurs millions de francs suisses, dont les revenus n'ont pas non plus été annoncés au fisc. A cela s'ajoute le fait qu'un compte libellé au nom de D. Ltd, sise dans les Iles vierges britanniques, aurait été crédité de "revenus de source inconnue" non déclarés à l'autorité. Or il appert que la société en question serait dé- tenue par un trust dont le bénéficiaire n'est autre que B. (act. 1, p. 4). Ici encore, l'AFC estime à plusieurs millions de francs suisses les montants soustraits à l'impôt.</w:t>
      </w:r>
    </w:p>
    <w:p>
      <w:r>
        <w:t>- 6 -</w:t>
      </w:r>
    </w:p>
    <w:p>
      <w:r>
        <w:t>En sus de ce qui précède, l'AFC soupçonne B. de détenir des participations – indirectes – dans certaines sociétés luxembourgeoises – au nombre des- quelles E., F., G. et H. SA – dont il n'aurait pas déclaré l'existence aux au- torités fiscales helvétiques, et partant les revenus potentiellement imposa- bles (act. 1, p. 4).</w:t>
      </w:r>
    </w:p>
    <w:p>
      <w:r>
        <w:t>Sur la base des éléments qui précèdent, l'AFC estime – au stade actuel de ses investigations – que les montants des revenus imposables non décla- rés par B. au cours des exercices 2003 à 2011 s'élèveraient à plusieurs millions de francs suisses (ibidem).</w:t>
      </w:r>
    </w:p>
    <w:p>
      <w:r>
        <w:rPr>
          <w:b/>
        </w:rPr>
        <w:t>E. 3.2.1</w:t>
      </w:r>
    </w:p>
    <w:p>
      <w:r>
        <w:t>Au vu de ce qui précède, force est de constater que la condition de l’existence de soupçons fondés d’infractions fiscales est réalisée en l’espèce, étant rappelé que, dans le cadre de la présente procédure – la- quelle ne porte que sur la levée des scellés – la Cour de céans n'a pas à se prononcer sur la réalisation des infractions reprochées au prévenu, mais se limite à statuer sur l’admissibilité de la perquisition (v. supra consid. 2.1.1 et 2.1.2), d’une part, et que, dans les premiers temps de l’enquête, des soup- çons même encore peu précis peuvent être considérés comme suffisants, d’autre part (arrêt du Tribunal pénal fédéral BE.2004.10 du 22 avril 2005, consid. 3.1 in fine). En l'espèce, l'AFC fournit des explications aussi détail- lées que l'y autorise le respect du secret fiscal à l'appui des soupçons allé- gués, en se fondant notamment sur des rapports officiels de la société C. SA dont les actionnaires ont, à l'une ou l'autre reprise, octroyé à B. des droits qui, selon l'appréciation actuelle des autorités fiscales suisses, au- raient dû avoir des conséquences fiscales s'ils avaient été dûment décla- rés. Les soupçons ne reposent donc pas sur une prévention purement sub- jective. A ce stade de la procédure, ces soupçons paraissent précis et ob- jectivement fondés. Il existe donc des indices suffisants d'infractions fisca- les.</w:t>
      </w:r>
    </w:p>
    <w:p>
      <w:r>
        <w:rPr>
          <w:b/>
        </w:rPr>
        <w:t>E. 3.2.2</w:t>
      </w:r>
    </w:p>
    <w:p>
      <w:r>
        <w:t>Cela étant précisé, il apparaît que la condition de l’importance présumée des papiers et autres supports de données saisis pour l’enquête pénale fis- cale en cours est également réalisée dans le cas d’espèce. A cet égard, la jurisprudence impose à l’autorité d'examiner si les documents dont la levée des scellés est requise présentent "apparemment" une pertinence pour l’instruction en cours (v. arrêt du Tribunal fédéral 1B_354/2009 et 1B_366/2009 du 2 mars 2010, consid. 3.2), étant précisé que pareille ques- tion "ne peut être résolue dans le détail, puisque le contenu même des do- cuments mis sous scellés n’est pas encore connu", d’une part, et que</w:t>
      </w:r>
    </w:p>
    <w:p>
      <w:r>
        <w:t>- 7 -</w:t>
      </w:r>
    </w:p>
    <w:p>
      <w:r>
        <w:t>"l’autorité de levée des scellés doit s’en tenir, à ce stade, au principe de l'utilité potentielle", d’autre part (ibidem).</w:t>
      </w:r>
    </w:p>
    <w:p>
      <w:r>
        <w:t>En l’espèce, il apparaît que les éléments exposés par l’AFC à l’appui de sa demande – lesquels viennent d’être rappelés (v. supra consid. 3.1) –, suffi- sent à admettre l’utilité à tout le moins potentielle de l’ensemble des docu- ments et supports de données saisis. Si pareille utilité doit déjà être recon- nue pour les documents relatifs aux sociétés dont le prévenu B. est soup- çonné d'avoir perçu des revenus non déclarés au fisc (v. supra consid. 3.1), ou aux sociétés dans lesquelles ledit B. est impliqué en tant qu’administrateur, actionnaire et/ou ayant droit, il en va de même de tous les autres documents, soit ceux concernant notamment des sociétés tier- ces, lesquelles peuvent néanmoins se révéler utiles à l’enquête, certaines entités pouvant en effet avoir joué un rôle – encore à déterminer – dans les opérations sous enquête. Par ailleurs, les opérations mentionnées par la requérante comme ayant échappé à toute imposition, ne constituent que des exemples, et on comprend aisément que l’autorité s’intéresse à l’ensemble des affaires menées par B. Ainsi, dans un contexte de soustrac- tions d’impôt de grande envergure, l’autorité d’enquête peut légitimement vouloir vérifier que l’ensemble des documents et supports de données sai- sis dans les locaux de l'opposante ne font pas état d’opérations suspectes qu’elle ne connaît pas encore.</w:t>
      </w:r>
    </w:p>
    <w:p>
      <w:r>
        <w:rPr>
          <w:b/>
        </w:rPr>
        <w:t>E. 4</w:t>
      </w:r>
    </w:p>
    <w:p>
      <w:r>
        <w:t>La Cour de céans a eu l’occasion de préciser – et cela a notamment été rappelé dans la jurisprudence du Tribunal fédéral citée plus haut (v. supra consid. 3.2) – que s’il s’impose de sauvegarder le secret professionnel au sens de l’art. 321 CP, le tri des documents mis sous scellés doit être effec- tué sous son contrôle en présence du détenteur des papiers et avec la par- ticipation du magistrat, respectivement de l’enquêteur en charge du dos- sier. En l’espèce, aucun secret du genre n’existe, ni n’a d’ailleurs été allé- gué. L'opposante fait toutefois valoir que son mandant B. serait au bénéfice d'une immunité diplomatique. Pareil argument est irrecevable, l'opposante n'étant pas elle-même bénéficiaire de la protection alléguée. Or seul le titu- laire de l'immunité est légitimé à soulever valablement un tel grief à l'appui de son opposition à la levée des scellés (v. arrêt du Tribunal fédéral 1B_322/2013 du 20 décembre 2013, consid. 1.1).</w:t>
      </w:r>
    </w:p>
    <w:p>
      <w:r>
        <w:rPr>
          <w:b/>
        </w:rPr>
        <w:t>E. 5</w:t>
      </w:r>
    </w:p>
    <w:p>
      <w:r>
        <w:t>Au vu de ce qui précède, la demande de levée des scellés est admise. L'AFC est ainsi autorisée à lever les scellés sur l’ensemble de la documen-</w:t>
      </w:r>
    </w:p>
    <w:p>
      <w:r>
        <w:t>- 8 -</w:t>
      </w:r>
    </w:p>
    <w:p>
      <w:r>
        <w:t>tation et des supports informatiques saisis lors de la perquisition opérée en date du 27 novembre 2013 dans les locaux de A. SA, sis à X.</w:t>
      </w:r>
    </w:p>
    <w:p>
      <w:r>
        <w:rPr>
          <w:b/>
        </w:rPr>
        <w:t>E. 6</w:t>
      </w:r>
    </w:p>
    <w:p>
      <w:r>
        <w:t>L'opposante qui succombe supportera un émolument lequel est fixé à CHF 1'500.-- (art. 73 LOAP applicable par renvoi de l'art. 25 al. 4 DPA; art. 5 et 8 du règlement du Tribunal pénal fédéral du 31 août 2010 sur les frais, émoluments, dépens et indemnités de la procédure pénale fédérale; RS 173.713.162).</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