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BE.2014.13 vom 5. November 2014</w:t>
      </w:r>
    </w:p>
    <w:p>
      <w:r>
        <w:t>Bundesstrafgericht, 2014-11-05, DE</w:t>
      </w:r>
    </w:p>
    <w:p>
      <w:r>
        <w:rPr>
          <w:b/>
        </w:rPr>
        <w:t xml:space="preserve">Quelle: </w:t>
      </w:r>
      <w:r>
        <w:t>https://mcp.opencaselaw.ch/entscheid/bstger_BE.2014.13</w:t>
      </w:r>
    </w:p>
    <w:p>
      <w:r>
        <w:t>FR: TPF BE.2014.13 du 5 novembre 2014</w:t>
      </w:r>
    </w:p>
    <w:p>
      <w:r>
        <w:t>IT: TPF BE.2014.13 del 5 novembre 2014</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 – 50 des Bundesgesetzes vom 22. März 1974 über das Verwaltungsstrafrecht (VStrR; SR 313.0). Bei der Verfolgung von Widerhandlungen gegen das Verrechnungssteuerrecht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 Die betroffene Verwaltungsbehör- de hat bei der Stellung von Entsiegelungsgesuchen dem Beschleunigungs- gebot ausreichend Rechnung zu tragen (Art. 29 Abs. 1 BV; BGE 139 IV 246 E. 3.2).</w:t>
      </w:r>
    </w:p>
    <w:p>
      <w:r>
        <w:t>- 4 -</w:t>
      </w:r>
    </w:p>
    <w:p>
      <w:r>
        <w:rPr>
          <w:b/>
        </w:rPr>
        <w:t>E. 1.3</w:t>
      </w:r>
    </w:p>
    <w:p>
      <w:r>
        <w:t>Gegenstand des Ersuchens bildet die Entsiegelung von in der ehelichen Wohnung der Gesuchsgegner 1 und 3 sichergestellten Unterlagen und Da- tenträger. Die Wohnung ist zugleich das statutarische Domizil der Ge- suchsgegnerin 2. Der Gesuchsgegner 1 ist der einzelzeichnungsberechtig- te Präsident deren Verwaltungsrats. Die Gesuchsgegner sind Inhaber der betroffenen Unterlagen bzw. Datenträger. Der Gesuchsgegner 1 ist bei die- ser Ausgangslage sowohl hinsichtlich seiner persönlichen Unterlagen als auch bezüglich der Unterlagen der Gesuchsgegnerin 2 kraft seiner Organ- stellung zur erhobenen Einsprache legitimiert. Die Frage, ob er gestützt auf Art. 166 ZGB auch zur Einsprache gegen die Durchsuchung von Unterla- gen seiner Ehegattin legitimiert ist, kann angesichts der nachfolgenden Er- wägungen und dem Ausgang des Verfahrens offen gelassen werden. Die übrigen Eintretensvoraussetzungen geben zu keinen Bemerkungen Anlass. Auf das Gesuch ist einzutreten.</w:t>
      </w:r>
    </w:p>
    <w:p>
      <w:r>
        <w:rPr>
          <w:b/>
        </w:rPr>
        <w:t>E. 1.4</w:t>
      </w:r>
    </w:p>
    <w:p>
      <w:r>
        <w:t>Im Rahmen ihrer Gesuchsantwort erklärten sich die Gesuchsgegner betref- fend einen Teil der sichergestellten Unterlagen bzw. elektronischen Daten- träger mit der Durchsuchung einverstanden (act. 5, Ziff. II.6., S. 6). Damit haben sie diesbezüglich ihre Einsprache teilweise zurückgezogen, weshalb das Verfahren diese Unterlagen bzw. elektronischen Datenträger betref- fend zufolge Gegenstandslosigkeit als erledigt abzuschreiben ist (vgl. hier- zu u. a. den Beschluss des Bundesstrafgerichts BE.2014.6 vom 22. Juli 2014; siehe auch den Entscheid des Bundesstrafgerichts BE.2010.18 vom</w:t>
      </w:r>
    </w:p>
    <w:p>
      <w:r>
        <w:rPr>
          <w:b/>
        </w:rPr>
        <w:t>E. 6</w:t>
      </w:r>
    </w:p>
    <w:p>
      <w:r>
        <w:t>Oktober 2010).</w:t>
      </w:r>
    </w:p>
    <w:p>
      <w:r>
        <w:t>2. 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w:t>
      </w:r>
    </w:p>
    <w:p>
      <w:r>
        <w:t>- 5 -</w:t>
      </w:r>
    </w:p>
    <w:p>
      <w:r>
        <w:t>TPF 2007 96 E. 2; Beschlüsse des Bundesstrafgerichts BE.2014.8 vom 16. Juni 2014, E. 2; BE.2013.10 vom 21. November 2013, E. 2).</w:t>
      </w:r>
    </w:p>
    <w:p>
      <w:r>
        <w:t>3.</w:t>
      </w:r>
    </w:p>
    <w:p>
      <w:r>
        <w:t>3.1 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 strafgerichts BE.2006.7 vom 20. Februar 2007, E. 3.1 m.w.H.; die dort an- geführten Überlegungen in Bezug auf das ordentliche Strafverfahren gelten gleichermassen auch für das Verwaltungsstrafverfahren, gibt es doch dies- bezüglich keinen sachlichen Grund für eine unterschiedliche Rechtsan- wendung; vgl. zuletzt auch die Beschlüsse des Bundesstrafgerichts BE.2013.7 vom 6. November 2013, E. 3.1; BE.2013.6 vom 29. Okto- ber 2013, E. 3.1).</w:t>
      </w:r>
    </w:p>
    <w:p>
      <w:r>
        <w:t>3.2</w:t>
      </w:r>
    </w:p>
    <w:p>
      <w:r>
        <w:t>3.2.1 Eine Steuerhinterziehung begeht u. a., wer als Steuerpflichtiger vorsätzlich oder fahrlässig bewirkt, dass eine Veranlagung zu Unrecht unterbleibt oder eine rechtskräftige Veranlagung unvollständig ist (vgl. Art. 175 Abs. 1 DBG).</w:t>
      </w:r>
    </w:p>
    <w:p>
      <w:r>
        <w:t>Eines Steuerbetrugs macht sich strafbar, wer zum Zwecke einer Steuerhin- terziehung gefälschte, verfälschte oder inhaltlich unwahre Urkunden wie Geschäftsbücher, Bilanzen, Erfolgsrechnungen oder Lohnausweise oder andere Bescheinigungen Dritter zur Täuschung gebraucht (Art. 186 Abs. 1 DBG).</w:t>
      </w:r>
    </w:p>
    <w:p>
      <w:r>
        <w:t>Wer vorsätzlich oder fahrlässig, zum eigenen oder zum Vorteil eines ande- ren dem Bunde Verrechnungssteuern vorenthält, wird, sofern nicht die Strafbestimmung von Art. 14 VStrR zutrifft, wegen Hinterziehung bestraft (Art. 61 lit. a VStG).</w:t>
      </w:r>
    </w:p>
    <w:p>
      <w:r>
        <w:t>- 6 -</w:t>
      </w:r>
    </w:p>
    <w:p>
      <w:r>
        <w:t>3.2.2 Aufgrund der Ausführungen der Gesuchstellerin und der durch diese einge- reichten Akten ergibt sich die nachfolgend geschilderte Verdachtslage. Der Gesuchsgegner 1 war im untersuchten Tatzeitraum, mithin in den Jahren 2005 bis Oktober 2011, Alleinaktionär und Verwaltungsratspräsident der E. mit Sitz in den Vereinigten Arabischen Emiraten. Diese Gesellschaft stand mit zwei Schweizer Gesellschaften, deren Alleinaktionär und Verwaltungs- ratspräsident ebenfalls der Gesuchsgegner 1 ist, in vertraglichen Bezie- hungen. So verpflichtete sie sich gegenüber der Gesuchsgegnerin 2 für die Produkte- und Preisgestaltung gelieferter Dienstleistungen innerhalb der Gruppe (B. AG/D. AG) sowie für die Buchhaltung, die Beratung bei der Im- mobilienverwaltung sowie die Personalpolitik (act. 1.4). Andererseits ver- pflichtete sie sich gegenüber der D. AG, ihr Know-How sowie ihre weltweite Erfahrung mit dem "System F." zur Verfügung zu stellen (act. 1.5). Auf- grund dieser Vertragsverhältnisse habe die E. den beiden Schweizer Ge- sellschaften in den Jahren 2005 bis 2010 rund Fr. 2'250'000.-- in Rechnung gestellt. Einige dieser Rechnungen liegen dem Gesuch bei (act. 1.6). Zu diesem Aufwand kommen in den Jahresrechnungen 2011 und 2012 der D. AG ausgewiesene Lizenzaufwendungen von rund Fr. 830'000.-- (act. 1.7).</w:t>
      </w:r>
    </w:p>
    <w:p>
      <w:r>
        <w:t>Zu diesen Erkenntnissen führt die Gesuchstellerin aus, die Bezahlung der Rechnungen aus dem Lizenzvertrag mit der D. AG sei in den Jahren 2005 bis 2010 nicht transparent ausgewiesen worden. Die Bezahlung der Rech- nungen habe teilweise erst Jahre nach Rechnungsstellung stattgefunden (vgl. hierzu die Beispiele in act. 1.8). Die verbuchten Beträge würden zu- dem teilweise nicht mit den vorhandenen Rechnungen übereinstimmen, was vermuten lasse, dass die Rechnungen nachträglich abgeändert wor- den seien. Weiter sei zum Zeitpunkt als die D. AG erstmals einen Lizenz- aufwand offen ausgewiesen habe, die E. als angebliche Lizenznehmerin bereits liquidiert gewesen. An wen die entsprechenden Lizenzzahlungen geflossen seien, sei unklar. Auch in der Buchhaltung der Gesuchsgegne- rin 2 sei die Bezahlung der Rechnungen der E. nicht transparent ausgewie- sen worden. In den Jahren 2007 und 2008 seien die entsprechenden Rechnungsbeträge ohne ersichtliche Begründung mehrheitlich auf das Pri- vatkonto der Gesuchsgegnerin 3 bezahlt und als Geschäftsaufwand ver- bucht worden (siehe die Beispiele in act. 1.9). Die Gesuchsgegnerin 3 habe zudem als "Pauschalentschädigung" für ihre Arbeitsleistungen für die Ge- suchsgegnerin 2 im Jahr 2011 ein Fahrzeug im Wert von Fr. 20'270.-- er- halten, diese Zuflüsse aber nicht als Einkommen deklariert.</w:t>
      </w:r>
    </w:p>
    <w:p>
      <w:r>
        <w:t>Anlässlich der Überprüfung der Erfüllung der Mehrwertsteuerpflicht bei der D. AG und der Gesuchsgegnerin 2 seien weiter Unterlagen aufgetaucht,</w:t>
      </w:r>
    </w:p>
    <w:p>
      <w:r>
        <w:t>- 7 -</w:t>
      </w:r>
    </w:p>
    <w:p>
      <w:r>
        <w:t>welche erhebliche Zweifel aufwerfen würden, dass die von der E. in Rech- nung gestellten Leistungen von dieser auch tatsächlich erbracht worden seien. Hinzu komme, dass es wenig plausibel erscheine, dass ortsgebun- dene Aufgaben für die D. AG und die Gesuchsgegnerin 2 durch eine Ge- sellschaft mit Sitz in den Vereinigten Arabischen Emiraten erfüllt worden seien. Zudem hätten sich Hinweise finden lassen, dass Massnahmen er- griffen worden seien, um die genauen Umstände der Leistungserbringung gegenüber den Steuerbehörden zu verschleiern.</w:t>
      </w:r>
    </w:p>
    <w:p>
      <w:r>
        <w:t>Auf Grund der gesamten Umstände dränge sich die Vermutung auf, dass die von der E. in Rechnung gestellten Leistungen gar nicht oder – wenn überhaupt – nicht in den Vereinigten Arabischen Emiraten, sondern in der Schweiz erbracht worden seien.</w:t>
      </w:r>
    </w:p>
    <w:p>
      <w:r>
        <w:t>3.2.3 Der Gesuchsgegner 1 und seine Ehegattin, die Gesuchsgegnerin 3, hätten sich den Ausführungen der Gesuchstellerin zufolge in den letzten zehn Jahren in der Schweiz mehrmals an- und wieder abgemeldet. Gegenüber den Steuerbehörden habe das Ehepaar geltend gemacht, insbesondere in den Jahren 2004 bis 2012 (bzw. die Gesuchsgegnerin 3 bis 2009) im Aus- land domiziliert gewesen zu sein. Aus diesem Grund seien sie in der Schweiz steuerlich nicht veranlagt worden. Diverse Indizien wie Kreditkar- tenabrechnungen und Reisebestätigungen würden indes darauf hindeuten, dass sich das Ehepaar mehrheitlich in der Schweiz (in der Wohnung auf dem Areal der Gesuchsgegnerin 2 bzw. in deren Wohnung in Z.) aufgehal- ten und in den Vereinigten Arabischen Emiraten keinen festen Wohnsitz aufgewiesen habe.</w:t>
      </w:r>
    </w:p>
    <w:p>
      <w:r>
        <w:t>Aufgrund der angeblichen Auslandsabwesenheiten seien die Vermögens- verhältnisse bzw. deren Entwicklung nur schwer nachvollziehbar. Der auf Seiten der Ehegatten angefallene Vermögenszuwachs sei anhand der ge- genüber den Steuerbehörden deklarierten Einkünfte nicht erklärbar. Des- halb und namentlich aufgrund der aktenmässig belegten Zahlungen der Gesuchsgegnerin 2 an die Gesuchsgegnerin 3 dränge sich der Verdacht auf, dass sämtliche aufgrund der Rechnungen der E. geleisteten Zahlun- gen direkt oder indirekt an die Ehegatten geflossen seien. Solche Zuflüsse unterlägen der Einkommenssteuer, seien jedoch nicht deklariert worden.</w:t>
      </w:r>
    </w:p>
    <w:p>
      <w:r>
        <w:t>3.2.4 Die genannten Umstände würden einerseits den Verdacht begründen, dass sowohl die Gesuchsgegnerin 2 als auch die D. AG aufgrund von Rechnun- gen der E. fiktiven Aufwand verbuchten, damit ihre Gewinne in hohem Mass verkürzten und so in grossem Umfang Gewinnsteuern hinterzogen bzw. zu hinterziehen versuchten. Die Gesuchsgegnerin 3 habe hierbei in</w:t>
      </w:r>
    </w:p>
    <w:p>
      <w:r>
        <w:t>- 8 -</w:t>
      </w:r>
    </w:p>
    <w:p>
      <w:r>
        <w:t>ihrer Funktion als Buchhalterin der Gesellschaften Gehilfenschaft geleistet. Andererseits besteht gegenüber dem Gesuchsgegner 1 der Verdacht, die- ser habe als Alleinaktionär und Verwaltungsratspräsident im Rahmen der Steuererklärungen der D. AG und der Gesuchsgegnerin 2 infolge der Ver- buchung von geschäftsmässig nicht begründetem Aufwand unvollständige bzw. unwahre Jahresrechnungen erstellt bzw. erstellen lassen und diese den zuständigen Steuerbehörden eingereicht, mit der Absicht, dadurch tiefe Gewinne der Gesellschaften zu belegen und so Steuerhinterziehungen zu begehen.</w:t>
      </w:r>
    </w:p>
    <w:p>
      <w:r>
        <w:t>Zudem habe sich der Gesuchsgegner 1 in den Steuerperioden 2005 bis 2011 mutmasslich der vollendeten Hinterziehung von Einkommenssteuern bzw. in der Steuerperiode 2012 der versuchten Hinterziehung schuldig ge- macht, indem er ein Steuerdomizil im Ausland vorgetäuscht und sich da- durch der Besteuerung in der Schweiz entzogen habe. Für die Steuerperi- oden 2005 bis 2008 besteht derselbe Tatvorwurf auch gegenüber der Ge- suchsgegnerin 3. Hernach soll diese zur Hinterziehung von Einkommens- steuern des Gesuchsgegners 1 Gehilfenschaft geleistet haben, indem sie dessen Einkommen in den Steuererklärungen nur satzbestimmend dekla- riert habe, obwohl sie gewusst habe, dass dieser im fraglichen Zeitraum in der Schweiz unbeschränkt steuerpflichtig gewesen wäre.</w:t>
      </w:r>
    </w:p>
    <w:p>
      <w:r>
        <w:t>3.2.5 Schliesslich hätten die Gesuchsgegnerin 2 und die D. AG durch die Verbu- chung von geschäftsmässig nicht begründetem Aufwand verdeckte Ge- winnausschüttungen an den Gesuchsgegner 1 bzw. an diesem naheste- hende Personen ausgerichtet. Die auf solchen Leistungen geschuldete Verrechnungssteuer (siehe Art. 4 Abs. 1 lit. b VStG) sei entgegen der ent- sprechenden gesetzlichen Pflichten weder von der Leistung in Abzug ge- bracht noch ordnungsgemäss deklariert und abgeliefert worden.</w:t>
      </w:r>
    </w:p>
    <w:p>
      <w:r>
        <w:t>3.2.6 Dieser Tatverdacht wird von den Gesuchsgegnern zwar in pauschaler Wei- se bestritten (act. 5, Ziff. II.4, S. 5 f.; act. 12, Ziff. II.4, S. 4), jedoch mit kei- nerlei sachdienlichen Erklärungen oder entsprechenden Beweismitteln ent- kräftet. Aufgrund der sich in wesentlichen Teilen auch auf Akten stützenden Ausführungen der Gesuchstellerin besteht bezüglich der untersuchten Straftatbestände ein hinreichender Tatverdacht, der eine Durchsuchung der sichergestellten Unterlagen und Datenträger zu rechtfertigen vermag.</w:t>
      </w:r>
    </w:p>
    <w:p>
      <w:r>
        <w:t>4.</w:t>
      </w:r>
    </w:p>
    <w:p>
      <w:r>
        <w:t>4.1 Weiter ist zu prüfen, ob anzunehmen ist, dass sich unter den zu durchsu- chenden Papieren Schriften befinden, die für die Untersuchung von Bedeu-</w:t>
      </w:r>
    </w:p>
    <w:p>
      <w:r>
        <w:t>- 9 -</w:t>
      </w:r>
    </w:p>
    <w:p>
      <w:r>
        <w:t>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das Urteil des Bundesgerichts 1B_637/2012 vom</w:t>
      </w:r>
    </w:p>
    <w:p>
      <w:r>
        <w:rPr>
          <w:b/>
        </w:rPr>
        <w:t>E. 8</w:t>
      </w:r>
    </w:p>
    <w:p>
      <w:r>
        <w:t>Mai 2013, E. 3.8.1 m.w.H.; TPF 2004 12 E. 2.1). Betroffene Inhaber von Aufzeichnungen und Gegenständen, welche die Versiegelung beantragen bzw. Durchsuchungshindernisse geltend machen, haben ihrerseits die pro- zessuale Obliegenheit, jene Gegenstände zu benennen, die ihrer Ansicht nach offensichtlich keinen Sachzusammenhang mit der Strafuntersuchung aufweisen. Dies gilt besonders, wenn sie die Versiegelung von sehr um- fangreichen bzw. komplexen Dokumenten oder Dateien verlangt haben (Urteil des Bundesgerichts 1B_637/2012 vom 8. Mai 2013, E. 3.8.1 in fine; gleiches gilt in Bezug auf die StPO, siehe hierzu BGE 138 IV 225 E. 7.1).</w:t>
      </w:r>
    </w:p>
    <w:p>
      <w:r>
        <w:t>4.2 Die Gesuchsgegner bringen diesbezüglich vor, eine Reihe der sicherge- stellten Unterlagen seien wegen deren privaten Charakters bzw. mangels sachlichen Zusammenhangs mit dem Gegenstand des Verwaltungsstraf- verfahrens nicht relevant (siehe im Einzelnen act. 5, Ziff. II.7, S. 7 ff.; act. 12, Ziff. II.6, S. 5 ff.). Sie verkennen hierbei insbesondere, dass in Be- zug auf den Tatverdacht des lediglich vorgetäuschten ausländischen Steu- erdomizils gerade auch private Unterlagen zur Klärung des Aufenthaltsor- tes sowie der Einkommens- und Vermögensverhältnisse der Gesuchsgeg- ner 1 und 3 beitragen können. Beide Aspekte bilden zentrale Gegenstände des Verwaltungsstrafverfahrens, weshalb sich die Durchsuchung der si- chergestellten privaten Rechnungen, Leasing- und Versicherungsverträge und Kreditkartenverträge, aber auch der Unterlagen zu Liegenschaften als zulässig erweist. Dasselbe gilt für die sichergestellten Agenden der Ge- suchsgegnerin 3 sowie für die sichergestellten Datenträger des Gesuchs- gegners 1. Bezüglich der unter den Positionen EPM010, EPM013, EPM024, EPM025 und EPM026 sichergestellten Unterlagen geschäftlicher Natur ist ebenfalls anzunehmen, dass diese für das Verwaltungsstrafver- fahren von Bedeutung sind. Sofern die Gesuchsgegner diesbezüglich gel- tend machen, die Unterlagen beträfen Zeiträume ausserhalb der untersuch- ten Steuerperioden (siehe im Einzelnen act. 5, Ziff. II.7, S. 8; act. 12, Ziff. II.6, S. 6 f.), ist festzuhalten, dass ältere Geschäftsunterlagen Hinweise auf Vorarbeiten zu Geschäftsvorgängen innerhalb der untersuchten Steu- erperioden enthalten können. Neuere Unterlagen können demgegenüber aufzeigen, wie die Liquidation der E. abgewickelt wurde, und so Rück- schlüsse auf weitere wirtschaftliche Vorgänge und damit ein Gesamtbild der Gruppe (B. AG/D. AG) ermöglichen.</w:t>
      </w:r>
    </w:p>
    <w:p>
      <w:r>
        <w:t>- 10 -</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t>5.2 Amts- oder Berufsgeheimnisse im Sinne des Art. 50 Abs. 2 VStrR, die einer Durchsuchung der sichergestellten Unterlagen entgegenstehen würden, sind von den Gesuchsgegnern keine angerufen worden. Gemäss dem auch vom Gesuchsgegner 1 mitunterzeichneten Protokoll handelt es sich bei den unter den Positionen EPM018-EPM023 sichergestellten Unterlagen um verschiedene Agenden (act. 1.1, S. 2 f.). Die mit Gesuchsantwort erho- bene Einrede, wonach es sich hier um private Tagebücher und somit um höchstpersönliche und intime Aufzeichnungen handelt, erweist sich als un- glaubhaft (act. 5, Ziff. II.7, S. 8). Soweit pauschal geltend gemacht wird, die sichergestellten Datenträger würden höchstpersönliche und intime Auf- zeichnungen des Gesuchsgegners 1 beinhalten (act. 5, Ziff. II.7, S. 9), er- weisen sich die Vorbringen als zu vage, weshalb sich auch diesbezüglich die von der Gesuchstellerin beantragte Durchsuchung als zulässig erweist.</w:t>
      </w:r>
    </w:p>
    <w:p>
      <w:r>
        <w:t>6. Nach dem Gesagten ist das Entsiegelungsgesuch – soweit es sich nicht als gegenstandslos erweist – gutzuheissen und es ist die Gesuchstellerin zu ermächtigen, die sichergestellten Daten zu entsiegeln und zu durchsuchen. Sie hat dabei auf den Antrag der Gesuchsgegner, das Material sei in ihrer Gegenwart zu sichten, Rücksicht zu nehmen.</w:t>
      </w:r>
    </w:p>
    <w:p>
      <w:r>
        <w:t>7. Bei diesem Ausgang des Verfahrens haben die Gesuchsgegner als unter- liegende Parteien die Gerichtskosten zu gleichen Teilen und unter solidari- scher Haftung zu tragen (Art. 25 Abs. 4 VStrR i.V.m. Art 66 Abs. 1 und 5 BGG analog; siehe dazu TPF 2011 25 E. 3). Die Gerichtsgebühr ist auf Fr. 2'000.-- festzusetzen (Art. 5 und 8 Abs. 1 des Reglements des Bundes- 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