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BE.2013.12 vom 22. Oktober 2013</w:t>
      </w:r>
    </w:p>
    <w:p>
      <w:r>
        <w:t>Bundesstrafgericht, 2013-10-22, FR</w:t>
      </w:r>
    </w:p>
    <w:p>
      <w:r>
        <w:rPr>
          <w:b/>
        </w:rPr>
        <w:t xml:space="preserve">Quelle: </w:t>
      </w:r>
      <w:r>
        <w:t>https://mcp.opencaselaw.ch/entscheid/bstger_BE.2013.12</w:t>
      </w:r>
    </w:p>
    <w:p>
      <w:r>
        <w:t>FR: TPF BE.2013.12 du 22 octobre 2013</w:t>
      </w:r>
    </w:p>
    <w:p>
      <w:r>
        <w:t>IT: TPF BE.2013.12 del 22 ottobre 2013</w:t>
      </w:r>
    </w:p>
    <w:p>
      <w:pPr>
        <w:pStyle w:val="Heading2"/>
      </w:pPr>
      <w:r>
        <w:t>Regeste</w:t>
      </w:r>
    </w:p>
    <w:p>
      <w:r>
        <w:t>Levée des scellés (art. 50 al. 3 DPA).</w:t>
      </w:r>
    </w:p>
    <w:p>
      <w:pPr>
        <w:pStyle w:val="Heading2"/>
      </w:pPr>
      <w:r>
        <w:t>Volltext</w:t>
      </w:r>
    </w:p>
    <w:p>
      <w:r>
        <w:t>Décision du 22 octobre 2013 Cour des plaintes Composition</w:t>
      </w:r>
    </w:p>
    <w:p>
      <w:r>
        <w:t>Les juges pénaux fédéraux Stephan Blättler, président, Giorgio Bomio et Nathalie Zufferey Franciolli, la greffière Maria Ludwiczak</w:t>
      </w:r>
    </w:p>
    <w:p>
      <w:r>
        <w:t>Parties</w:t>
      </w:r>
    </w:p>
    <w:p>
      <w:r>
        <w:t>ADMINISTRATION FÉDÉRALE DES DOUANES, DIRECTION GÉNÉRALE DES DOUANES, requérante</w:t>
      </w:r>
    </w:p>
    <w:p>
      <w:r>
        <w:t>contre</w:t>
      </w:r>
    </w:p>
    <w:p>
      <w:r>
        <w:t>1. A.,</w:t>
      </w:r>
    </w:p>
    <w:p>
      <w:r>
        <w:t>2. B. SA, tous deux représentés par Me Corinne Corminboeuf Harari, avocate,</w:t>
      </w:r>
    </w:p>
    <w:p>
      <w:r>
        <w:t>opposants</w:t>
      </w:r>
    </w:p>
    <w:p>
      <w:r>
        <w:t>Objet</w:t>
      </w:r>
    </w:p>
    <w:p>
      <w:r>
        <w:t>Levée des scellés (art. 50 al. 3 DPA)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BE.2013.12</w:t>
      </w:r>
    </w:p>
    <w:p>
      <w:r>
        <w:t>- 2 -</w:t>
      </w:r>
    </w:p>
    <w:p>
      <w:r>
        <w:t>Vu:</w:t>
      </w:r>
    </w:p>
    <w:p>
      <w:r>
        <w:t>- la procédure pénale administrative ouverte par la Direction de l’arrondissement des douanes de Genève, Section antifraude douanière à l’encontre de A. et B. SA aux chefs d’infractions d’ordre fiscal au sens de la loi fédérale sur les douanes (LD; RS 631.0) et de la loi fédérale régissant la taxe sur la valeur ajoutée (LTVA; RS 641.20), - la perquisition intervenue le 22 août 2013 auprès de la société C. SA, société qui met à la disposition de B. SA un conteneur de stockage, - l’opposition à la perquisition formulée par A., ayant pour conséquence la mise sous scellés de la documentation trouvée sur les lieux, - la requête tendant à la levée des scellés adressée par l’Administration fédérale des douanes (ci-après: AFD) à la Cour de céans par acte du 18 septembre 2013 (act. 1), - le courrier de Me Corminboeuf Harari du 14 octobre 2013 par lequel la Cour de céans a été informée de la renonciation à la mise sous scellés des documents saisis (act. 4),</w:t>
      </w:r>
    </w:p>
    <w:p>
      <w:r>
        <w:t>Et considérant que:</w:t>
      </w:r>
    </w:p>
    <w:p>
      <w:r>
        <w:t>la poursuite pénale des infractions à la LTVA et la LD s’effectue conformément aux dispositions de la loi fédérale sur le droit pénal administratif (DPA; RS 313.0) (art. 103 al. 1 LTVA; art. 128 al. 1 LD); la Cour des plaintes du Tribunal pénal fédéral est compétente pour statuer sur l’admissibilité de la perquisition conformément à l’art. 50 al. 3 cum 25 al. 1 DPA et l’art. 37 al. 2 let. b de la loi fédérale sur l'organisation des autorités pénales de la Confédération (LOAP; RS 173.71); la requête de levée des scellés sous l’angle de la DPA applicable par renvoi de la LTVA et la LD n’est soumise à aucun délai particulier; l’AFD est indiscutablement légitimée à soumettre une telle requête à la Cour de céans; la requête est, partant, recevable;</w:t>
      </w:r>
    </w:p>
    <w:p>
      <w:r>
        <w:t>- 3 -</w:t>
      </w:r>
    </w:p>
    <w:p>
      <w:r>
        <w:t>la requête est devenue sans objet suite à la renonciation à la mise sous scellés datée du 14 octobre 2013, libérant les documents dont le sort était querellé; il y a lieu de rayer la cause du rôle; les frais de procédure comprenant l’émolument d’arrêté, les émoluments de chancellerie et les débours sont mis à la charge de la partie qui succombe; aucun frais de procédure n’est mis à la charge des autorités inférieures, ni des autorités fédérales recourantes et déboutées (art. 25 al. 4 DPA en relation avec l’art. 66 al. 1 de la loi sur le Tribunal fédéral [LTF; RS 173.110] applicable par analogie; cf. TPF 2011 25 consid. 3); à teneur de la jurisprudence et de la doctrine il s’agit d’analyser de manière sommaire la probable issue de la procédure; si celle-ci ne peut être déterminée, il y a lieu de se référer aux règles de procédure ordinaire, avec pour conséquence que les frais judiciaires sont mis à la charge de la partie qui a provoqué la procédure devenue, par la suite, sans objet, ou encore la partie qui a causé le motif pour lequel la procédure est devenue sans objet (ATF 118 Ia 488 consid. 4a; décision du Tribunal pénal fédéral BV.2012.11 du 13 août 2013; GEISER, Basler Kommentar LTF [Niggli/Uebersax/ Wiprächtiger, édit.], 2e éd., Bâle 2011, n° 14 ad art. 66); en l’état actuel du dossier, soit à défaut de prise de position des opposants, il apparaît impossible de déterminer l’issue probable de la requête; néanmoins, il y a lieu de constater que la présente procédure a pris fin ensuite de la renonciation à la mise sous scellés initialement demandée; A. et B. SA doivent être considérés comme parties qui succombent en la présente espèce; en application des art. 5 et 8 du règlement du Tribunal pénal fédéral sur les frais, émoluments, dépens et indemnités de la procédure pénale fédérale (RFPPF; RS 173.713.162) applicable par renvoi des art. 25 al. 4 DPA et 73 LOAP, un émolument de CHF 300.-- est mis à la charge solidaire de A. et B. SA.</w:t>
      </w:r>
    </w:p>
    <w:p>
      <w:r>
        <w:t>- 4 -</w:t>
      </w:r>
    </w:p>
    <w:p>
      <w:r>
        <w:t>Par ces motifs, la Cour des plaintes prononce: 1. Devenue sans objet, la procédure est rayée du rôle. 2. Un émolument de CHF 300.-- est mis à la charge solidaire de A. et B. SA.</w:t>
      </w:r>
    </w:p>
    <w:p>
      <w:r>
        <w:t>Bellinzone, le 23 octobre 2013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Administration fédérale des douanes, Direction générale des douanes - Me Corinne Corminboeuf Harari</w:t>
      </w:r>
    </w:p>
    <w:p>
      <w:r>
        <w:t>Indication des voies de recours 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