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BE.2013.11 vom 15. August 2013</w:t>
      </w:r>
    </w:p>
    <w:p>
      <w:r>
        <w:t>Bundesstrafgericht, 2013-08-15, IT</w:t>
      </w:r>
    </w:p>
    <w:p>
      <w:r>
        <w:rPr>
          <w:b/>
        </w:rPr>
        <w:t xml:space="preserve">Quelle: </w:t>
      </w:r>
      <w:r>
        <w:t>https://mcp.opencaselaw.ch/entscheid/bstger_BE.2013.11</w:t>
      </w:r>
    </w:p>
    <w:p>
      <w:r>
        <w:t>FR: TPF BE.2013.11 du 15 août 2013</w:t>
      </w:r>
    </w:p>
    <w:p>
      <w:r>
        <w:t>IT: TPF BE.2013.11 del 15 agosto 2013</w:t>
      </w:r>
    </w:p>
    <w:p>
      <w:pPr>
        <w:pStyle w:val="Heading2"/>
      </w:pPr>
      <w:r>
        <w:t>Regeste</w:t>
      </w:r>
    </w:p>
    <w:p>
      <w:r>
        <w:t>Levata dei sigilli (art. 50 cpv. 3 DPA): sufficienti indizi di reato; utilità potenziale.</w:t>
      </w:r>
    </w:p>
    <w:p>
      <w:pPr>
        <w:pStyle w:val="Heading2"/>
      </w:pPr>
      <w:r>
        <w:t>Erwägungen</w:t>
      </w:r>
    </w:p>
    <w:p>
      <w:r>
        <w:rPr>
          <w:b/>
        </w:rPr>
        <w:t>E. 1.1</w:t>
      </w:r>
    </w:p>
    <w:p>
      <w:r>
        <w:t>Le procedure per infrazione agli art. 190 e segg. LIFD sono rette dalla legge federale sul diritto penale amministrativo (DPA; RS 313.0; v. art. 191 cpv. 1 LIFD). Ne discende l'applicazione al caso di specie degli art. 19-50 DPA.</w:t>
      </w:r>
    </w:p>
    <w:p>
      <w:r>
        <w:rPr>
          <w:b/>
        </w:rPr>
        <w:t>E. 1.2</w:t>
      </w:r>
    </w:p>
    <w:p>
      <w:r>
        <w:t>Giusta l’art. 50 DPA, la perquisizione di carte deve essere fatta col maggior riguardo possibile dei segreti privati; segnatamente, le carte devono essere esaminate soltanto quando si può presumere che contengano scritti importanti per l’inchiesta (cpv. 1). La perquisizione deve essere fatta in modo da tutelare il segreto d’ufficio, come anche i segreti confidati, nell’esercizio del proprio mi- nistero o della propria professione, agli ecclesiastici, agli avvocati, ai notai, ai medici, ai farmacisti, alle levatrici e ai loro ausiliari (cpv. 2). Se possibile, il de- tentore di carte deve essere messo in grado d’indicarne il contenuto prima del- la perquisizione. Se egli si oppone alla perquisizione, le carte devono essere suggellate e poste in luogo sicuro; la decisione sull’ammissibilità della perqui- sizione spetta alla Corte dei reclami penali del Tribunale penale federale (art. 50 cpv. 3 e art. 37 cpv. 2 LOAP). Unico legittimato ad interporre opposi- zione è il detentore di documenti (sentenza del Tribunale federale 1B_233/2009 del 25 febbraio 2010, consid. 4.2 e rinvii).</w:t>
      </w:r>
    </w:p>
    <w:p>
      <w:r>
        <w:rPr>
          <w:b/>
        </w:rPr>
        <w:t>E. 1.3</w:t>
      </w:r>
    </w:p>
    <w:p>
      <w:r>
        <w:t>Premessa l'inesistenza di un termine per presentare un'istanza di dissiggilla- mento in ambito di un procedimento penale amministrativo (v. sentenza del Tribunale penale federale BE.2012.11 del 20 febbraio 2013, consid. 1.3.2), l'i- stanza presentata dall'AFC è ricevibile in ordine.</w:t>
      </w:r>
    </w:p>
    <w:p>
      <w:r>
        <w:rPr>
          <w:b/>
        </w:rPr>
        <w:t>E. 2.1</w:t>
      </w:r>
    </w:p>
    <w:p>
      <w:r>
        <w:t>Nell’ambito di un’istanza di levata dei sigilli, la Corte dei reclami penali del Tri- bunale penale federale deve esaminare dapprima se sussistono sufficienti in- dizi di reato e, se ciò dovesse essere il caso, in un secondo momento se i do- cumenti presentano un'importanza, perlomeno apparente, per l'inchiesta. Quest'ultima analisi non può essere effettuata nel dettaglio, poiché il contenu- to stesso dei documenti posti sotto sigilli non è ancora noto. A questo stadio l'autorità deve riferirsi al cosiddetto principio dell'"utilità potenziale" (sentenze del Tribunale federale 1B_354/2009 e 1B_366/2009 del 2 marzo 2010, con- sid. 3.2; 8G.9/2004 del 23 marzo 2004, consid. 6). E' soltanto in presenza di un segreto professionale ai sensi dell'art. 50 cpv. 2 DPA, qui palesemente non dato, che la Corte dei reclami penali procede essa stessa ad una cernita dei documenti (v. DTF 132 IV 63). La perquisizione di documenti è dunque am- missibile unicamente se esistono degli indizi sufficienti in merito all'esistenza di un’infrazione (DTF 106 IV 413 consid. 4). La necessità della perquisizione deve essere giustificata da sospetti precisi e oggettivamente fondati e non ba-</w:t>
      </w:r>
    </w:p>
    <w:p>
      <w:r>
        <w:t>- 4 -</w:t>
      </w:r>
    </w:p>
    <w:p>
      <w:r>
        <w:t>sarsi su sospetti generali o su una prevenzione puramente soggettiva (sen- tenza del Tribunale federale 8G.9/2004 del 23 marzo 2004, consid. 6). Con- formemente all’art. 45 DPA, la misura summenzionata deve rispettare il prin- cipio della proporzionalità. L’oggetto della perquisizione deve essere circo- scritto in modo preciso affinché si possa controllare la sua connessione con il sospetto preciso e oggettivamente fondato che grava sull’accusato e controlla- re ugualmente il rispetto del principio della proporzionalità (sentenza 8G.9/2004 precitata, consid. 6; DTF 104 IV 125, 131 e seg. consid. 3b). È ine- vitabile che la perquisizione di carte porti ugualmente su documenti che non presentano alcun interesse per l’inchiesta (sentenza 8G.9/2004 precitata, consid. 6; DTF 108 IV 75, 76 consid. 5; GAAC 64.52). La Corte dei reclami penali ha fatto peraltro sua la giurisprudenza del Tribunale federale (cfr. ad esempio sentenze del Tribunale penale federale BE.2009.12-15 del 9 novem- bre 2009, BE.2008.3 del 24 giugno 2008, consid. 3). Per permettere una cor- retta analisi della situazione occorre che l'istanza presentata dall'autorità com- petente esponga in maniera sufficientemente dettagliata il contesto fattuale in modo tale che la scrivente Corte possa effettuare un'adeguata sussunzione in punto alla realizzazione degli elementi costituivi oggettivi e soggettivi di una o più infrazioni. A supporto dei fatti esposti, l'autorità istante è altresì tenuta ad allegare eventuali mezzi di prova o fornire concreti elementi indiziari tali da corroborare le ipotesi di reato avanzate (sentenza del Tribunale penale fede- rale BE.2012.4 dell'11 luglio 2012, consid. 3.1).</w:t>
      </w:r>
    </w:p>
    <w:p>
      <w:r>
        <w:rPr>
          <w:b/>
        </w:rPr>
        <w:t>E. 2.2</w:t>
      </w:r>
    </w:p>
    <w:p>
      <w:r>
        <w:t>Nella fattispecie, l'autorità fiscale afferma che i fondi derivanti dalla convenzio- ne del 3 aprile 2008 tra D. SA e Cooperativa G., pari a fr. 4'000'000.--, versati in un primo momento sul conto di uno studio legale, non sarebbero stati né contabilizzati da D. SA né dichiarati come reddito dai coniugi B e C. Allo scopo di evitarne una loro tassazione, essi avrebbero venduto i capitali azionari delle società D. SA (oggi E. SA) e F. SA (oggi D. SA), da loro detenute, alla società I. AG per un importo di fr. 3'100'000.-- (v. act. 1.7 e 1.8), operazione finanziata mediante una parte del denaro versato da Cooperativa G. Nonostante i coniu- gi B. e C. abbiano dichiarato di essersi spossessati delle due predette società e di non più dominare I. AG, l'AFC, grazie ad una revisione, avrebbe raccolto diversi indizi che indurrebbero a ritenere che i due indagati abbiano continuato a mantenere il controllo di I. AG. In definitiva, i coniugi B. e C., nel 2008, a- vrebbero commesso una sottrazione d'imposta relativamente alla non contabi- lizzazione della controprestazione di fr. 4'000'000.-- effettuata da Cooperativa G. Essendo inoltre la differenza tra il capitale nominale delle due società ven- dute a I. AG e l'importo della controprestazione, pari a fr. 2'850'000.--, imponi- bile (v. art. 20a cpv. 1 lett. b LIFD), essi, nel 2009, avrebbero commesso un tentativo di sottrazione d'imposta, non avendo debitamente dichiarato il capita- le azionario di I. AG. D. SA, dal canto suo, avrebbe sottratto nel 2008 appros- simativamente fr. 4'000'000.--. Nella sua richiesta di levata dei sigilli l'AFC af- ferma che, da lei interrogato in data 6 giugno 2013, B. avrebbe in sostanza</w:t>
      </w:r>
    </w:p>
    <w:p>
      <w:r>
        <w:t>- 5 -</w:t>
      </w:r>
    </w:p>
    <w:p>
      <w:r>
        <w:t>confermato di aver incassato direttamente i fr. 4'000'000.-- provenienti da Co- operativa G. nonché di aver mantenuto il controllo di I. AG. Orbene, dal Regi- stro di commercio risulterebbe che H., amministratore unico della A. SA, rico- pre o ha ricoperto diverse funzioni in seno alle società coinvolte nell'inchiesta, ossia: revisore dal 2000 al 2009 nonché presidente dal 2009 ad oggi di F. SA (oggi D. SA); vicepresidente del 2009 e mandatario fiscale presso D. SA (oggi E. SA); vicepresidente dal 19 novembre 2008 nonché mandatario fiscale presso I. AG. Egli avrebbe inoltre diritto di firma in seno alla società J. Ltd., (BVI), società che avrebbe partecipato all'aumento di capitale, sottoscritto alla presenza, quali fiduciari, di H. e K., di I. AG. Ora, i documenti sotto sigillo ri- guardano proprio J. Ltd., società detentrice del capitale azionario di I. AG, la quale l'AFC sospetta sia stata interposta ai coniugi B. e C. al solo scopo di tu- telare l'identità degli azionisti. Secondo l'autorità fiscale, sui conti di J. Ltd sa- rebbero inoltre transitata parte del denaro non dichiarato. I documenti posti sotto sigillo riguarderebbero anche le società I. AG e E. SA.</w:t>
      </w:r>
    </w:p>
    <w:p>
      <w:r>
        <w:t>Tutto quanto precede permette senz'altro di affermare che sussistono suffi- cienti indizi di reato e che la documentazione posta sotto sigillo presenta un'u- tilità potenziale per il prosieguo dell'inchiesta fiscale. L'AFC deve avere la pos- sibilità di verificare, sulla base di suddetta documentazione, se J. Ltd. ha ve- ramente agito per conto dei coniugi B. e C. Certo, è inevitabile che tra le carte sequestrate siano presenti nominativi di soggetti che all'apparenza potrebbero ritenersi estranei ai fatti indagati, ma questo non significa ancora che un loro dissigillamento disattenda il principio della proporzionalità e dell'utilità poten- ziale. La documentazione dissigillata che nulla ha a che vedere con l'inchiesta portata avanti dall'AFC dovrà in ogni caso essere restituita all'opponente.</w:t>
      </w:r>
    </w:p>
    <w:p>
      <w:r>
        <w:rPr>
          <w:b/>
        </w:rPr>
        <w:t>E. 2.3</w:t>
      </w:r>
    </w:p>
    <w:p>
      <w:r>
        <w:t>In definitiva, la richiesta di levata dei sigilli presentata dall'AFC va accolta. Non essendo la documentazione oggetto della richiesta toccata da un segreto pro- fessionale ai sensi dell'art. 50 cpv. 2 DPA, l'AFC è autorizzata a procedere es- sa stessa al dissigillamento e alla cernita della documentazione posta sotto suggello.</w:t>
      </w:r>
    </w:p>
    <w:p>
      <w:r>
        <w:rPr>
          <w:b/>
        </w:rPr>
        <w:t>E. 3</w:t>
      </w:r>
    </w:p>
    <w:p>
      <w:r>
        <w:t>Conformemente all’art. 25 cpv. 4 DPA, l’onere delle spese per la procedura di reclamo davanti alla Corte dei reclami penali si determina secondo l’art. 73 LOAP, disposizione che rinvia al regolamento del 31 agosto 2010 del Tribuna- le penale federale sulle spese, gli emolumenti, le ripetibili e le indennità della procedura penale federale (RSPPF; RS 173.713.162). Tale regolamento non contiene tuttavia indicazioni in merito all’attribuzione delle spese giudiziarie, trovando pertanto applicazione per prassi costante le disposizioni della LTF in analogia (v. ad esempio le sentenze del Tribunale penale federale BV.2012.36 del 12 settembre 2012; BV.2010.60 del 25 luglio 2011, consid. 5 e rinvio; d'al-</w:t>
      </w:r>
    </w:p>
    <w:p>
      <w:r>
        <w:t>- 6 -</w:t>
      </w:r>
    </w:p>
    <w:p>
      <w:r>
        <w:t>tra opinione ANDREAS EICKER/FRIEDRICH FRANK/JONAS ACHERMANN, Verwal- tungsstrafrecht und Verwaltungsstrafverfahrensrecht, Berna 2012, pag. 228, i quali ritengono applicabili gli art. 416 e segg. CPP). Giusta l'art. 66 cpv. 1 LTF, all'opponente, parte soccombente, viene addossata la tassa di giustizia di fr. 1'500.--. Non vengono per contro assegnate ripetibili all'AFC (v. art. 68 cpv. 3 LTF).</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