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BE.2012.8 vom 19. September 2012</w:t>
      </w:r>
    </w:p>
    <w:p>
      <w:r>
        <w:t>Bundesstrafgericht, 2012-09-19, DE</w:t>
      </w:r>
    </w:p>
    <w:p>
      <w:r>
        <w:rPr>
          <w:b/>
        </w:rPr>
        <w:t xml:space="preserve">Quelle: </w:t>
      </w:r>
      <w:r>
        <w:t>https://mcp.opencaselaw.ch/entscheid/bstger_BE.2012.8</w:t>
      </w:r>
    </w:p>
    <w:p>
      <w:r>
        <w:t>FR: TPF BE.2012.8 du 19 septembre 2012</w:t>
      </w:r>
    </w:p>
    <w:p>
      <w:r>
        <w:t>IT: TPF BE.2012.8 del 19 settembre 2012</w:t>
      </w:r>
    </w:p>
    <w:p>
      <w:pPr>
        <w:pStyle w:val="Heading2"/>
      </w:pPr>
      <w:r>
        <w:t>Regeste</w:t>
      </w:r>
    </w:p>
    <w:p>
      <w:r>
        <w:t>Entsiegelung (Art. 50 Abs. 3 VStrR).</w:t>
      </w:r>
    </w:p>
    <w:p>
      <w:pPr>
        <w:pStyle w:val="Heading2"/>
      </w:pPr>
      <w:r>
        <w:t>Erwägungen</w:t>
      </w:r>
    </w:p>
    <w:p>
      <w:r>
        <w:rPr>
          <w:b/>
        </w:rPr>
        <w:t>E. 1.1</w:t>
      </w:r>
    </w:p>
    <w:p>
      <w:r>
        <w:t>Gemäss Art. 67 Abs. 1 VStG findet auf Strafverfahren im Rahmen des VStG das VStrR Anwendung. Folglich richtet sich das Verfahren nach Art. 19 – 50 VStrR.</w:t>
      </w:r>
    </w:p>
    <w:p>
      <w:r>
        <w:rPr>
          <w:b/>
        </w:rPr>
        <w:t>E. 1.2</w:t>
      </w:r>
    </w:p>
    <w:p>
      <w:r>
        <w:t>Werden im Verwaltungsstrafverfahren Papiere und Datenträger (vgl. hierzu BGE 108 IV 76 E. 1) durchsucht, so ist dem Inhaber derselben wenn immer möglich vor der Durchsuchung Gelegenheit zu geben, sich über deren In- halt auszusprechen. Erhebt er gegen die Durchsuchung Einsprache, so werden die Papiere vorläufig versiegelt und verwahrt (Art. 50 Abs. 3 VStrR). Zur Einsprache gegen die Durchsuchung ist nur der Inhaber der Papiere legitimiert (Urteil des Bundesgerichts 1S.28/2005 vom 27. Sep- tember 2005, E. 2.4.2, mit Hinweis auf den Entscheid des Bundesstrafge- richts BV.2005.20 vom 23. Juni 2005, E. 2.1.1). Über die Zulässigkeit der Durchsuchung entscheidet die Beschwerdekammer des Bundesstrafge- richts (Art. 50 Abs. 3 VStrR i.V.m. Art. 37 Abs. 2 lit. b StBOG). Im VStrR besteht keine Frist zur Einreichung des Entsiegelungsgesuchs. Jedoch gilt es auch in diesem Verfahren das allgemeingültige Beschleunigungsgebot zu beachten.</w:t>
      </w:r>
    </w:p>
    <w:p>
      <w:r>
        <w:rPr>
          <w:b/>
        </w:rPr>
        <w:t>E. 1.3</w:t>
      </w:r>
    </w:p>
    <w:p>
      <w:r>
        <w:t>Die Gesuchsgegnerin ist Inhaberin der in ihren Räumlichkeiten sicherge- stellten Akten und Datenträger, womit sie zur Einsprache legitimiert ist. Entgegen der Darstellungen der Gesuchsgegnerin verstösst das Entsiege- lungsgesuch vom 16. Mai 2012 gegen die Sieglung, welche am</w:t>
      </w:r>
    </w:p>
    <w:p>
      <w:r>
        <w:rPr>
          <w:b/>
        </w:rPr>
        <w:t>E. 4</w:t>
      </w:r>
    </w:p>
    <w:p>
      <w:r>
        <w:t>Gemäss Art. 61 VStG wird, sofern nicht die Strafbestimmungen von Art. 14 VStrR zutreffen, mit Busse bis zu Fr. 30'000.-- oder, sofern dies einen hö- heren Betrag ergibt, bis zum Dreifachen der hinterzogenen Steuer oder des unrechtmässigen Vorteils bestraft, wer vorsätzlich oder fahrlässig, zum ei- genen oder zum Vorteil eines andern dem Bund Verrechnungssteuern vor- enthält (lit. a), die Pflicht zur Meldung einer steuerbaren Leistung nicht er- füllt oder eine unwahre Meldung erstattet (lit. b), eine ungerechtfertigte Rückerstattung der Verrechnungssteuer oder einen andern unrechtmässi- gen Steuervorteil erwirkt (lit. c). Handelt der Täter arglistig, so gelangt Art. 14 VStrR zur Anwendung.</w:t>
      </w:r>
    </w:p>
    <w:p>
      <w:r>
        <w:t>Geldwerte Leistungen an Aktionäre oder nahestehenden Personen unter- liegen einer Verrechnungssteuer von 35% (Art. 4 Abs. 1 lit. b, Art. 10 Abs. 1, Art. 13 Abs. 1 lit. a VStG; Art. 20 Abs. 1 VStV). Bewirkt der Täter durch sein arglistiges Verhalten, dass dem Gemeinwesen unrechtmässig und in einem erheblichen Betrag eine Abgabe, ein Beitrag oder eine andere Leis- tung vorenthalten oder dass es sonst am Vermögen geschädigt wird, so ist die Strafe Freiheitsstrafe bis zu einem Jahr, Geldstrafe oder Busse bis zu Fr. 30'000.-- (Art. 14 Abs. 2 VStrR i.V.m. Art. 333 Abs. 2 StGB).</w:t>
      </w:r>
    </w:p>
    <w:p>
      <w:r>
        <w:rPr>
          <w:b/>
        </w:rPr>
        <w:t>E. 5.1</w:t>
      </w:r>
    </w:p>
    <w:p>
      <w:r>
        <w:t>Vorweg gilt es festzuhalten, dass die Problematik zwischen der P. AG und B. AG, D. SA in Liquidation bzw. und C. grundsätzlich nicht Gegenstand des vorliegenden Verfahrens bildet. Jedoch spielen die Geschäftsbezie- hungen zur P. AG insoweit eine Rolle, als dass diese als Grund für einige Überweisungen angegeben wurde.</w:t>
      </w:r>
    </w:p>
    <w:p>
      <w:r>
        <w:rPr>
          <w:b/>
        </w:rPr>
        <w:t>E. 5.2</w:t>
      </w:r>
    </w:p>
    <w:p>
      <w:r>
        <w:t>Unglaubwürdig erscheint die Darstellung der Gesuchgegnerin, indem sie geltend macht, es sei nicht zu beanstanden, dass die B. AG der D. SA in Liquidation ein Darlehen gewährt habe. Unter Berücksichtigung der un- bestrittenermassen schlechten finanziellen Situation der D. SA in Liquidati-</w:t>
      </w:r>
    </w:p>
    <w:p>
      <w:r>
        <w:t>- 11 -</w:t>
      </w:r>
    </w:p>
    <w:p>
      <w:r>
        <w:t>on aber auch der B. AG erscheint ein solches Vorgehen bereits als solches fragwürdig.</w:t>
      </w:r>
    </w:p>
    <w:p>
      <w:r>
        <w:t>Gemäss Vorbringen der Gesuchgegnerin, habe die K. AG bereits etliche Leistungen für das L.-Projekt erbracht und unter anderem auch diverse Ge- räte entwickelt und hergestellt (vgl. act. 8, S. 16 f.). Auch wenn sich die In- vestoren während des Entwicklungsprozesses vom Projekt abgewendet haben, ist doch zu erwarten, dass gewisse Ergebnisse und Produkte hätten weitergegeben werden müssen. Eine vollständige Abschreibung erscheint daher wenig wahrscheinlich.</w:t>
      </w:r>
    </w:p>
    <w:p>
      <w:r>
        <w:t>Die Darstellung der Gesuchsgegnerin, wonach die K. AG sich im Jahre 2009 bereit erklärt habe, C. aufgrund der rechtlichen Auseinandersetzung mit der P. AG ein Darlehen von maximal EUR 26 Mio. zu gewähren, er- scheint ebenfalls unglaubwürdig; wirft zumindest Fragen auf. Es wider- spricht allen wirtschaftlichen Grundsätzen, einer Person, ohne Leistung von echten Sicherheiten, auf beruflicher Basis ein Darlehen von EUR 26 Mio. zu gewähren.</w:t>
      </w:r>
    </w:p>
    <w:p>
      <w:r>
        <w:t>Hinsichtlich der Übertragung der Immobilien gilt es festzuhalten, dass diese gesamten Vorgänge nicht transparent sind. Überdies darf es sicherlich Fragen aufwerfen, wenn vorgebracht wird, die Immobilien würden als Re- serven dienen und C. in der Auseinandersetzung mit der P. AG bei Bedarf zur Verfügung stehen. Auf jeden Fall vermag diese Darstellung den Ein- druck eines unseriösen Geschäftes nicht zu entkräften.</w:t>
      </w:r>
    </w:p>
    <w:p>
      <w:r>
        <w:t>Weiter entspricht es nicht dem gewöhnlichen Geschäftsablauf, dass Ver- mögenswerte zur Sicherung einer Schuld in den Gewahrsam des Schuld- ners übergeben werden. Naheliegend wäre es, wenn die 21 Goldbarren der K. AG übergeben worden wären.</w:t>
      </w:r>
    </w:p>
    <w:p>
      <w:r>
        <w:t>Die Erklärungen der Gesuchsgegnerin für die erfolgten Transaktionen er- scheinen allesamt konstruiert. Auch wenn im jetzigen Verfahrensstand auf- grund der fehlenden Beweismittel der genaue Sachverhalt noch nicht fest- gestellt werden kann, so ergeben sich hinsichtlich der von der Gesuchs- gegnerin gemachten Erklärungen gemäss obiger Ausführungen starke Zweifel an deren Glaubwürdigkeit. Der dargestellte Sachverhalt erweckt den Eindruck, dass diese Transaktionen mit dem Hauptziel vorgenommen wurden, C. auf verdeckte Weise Vermögenswerte zu verschaffen. Die Be- gründungen der Gesuchsgegnerin erscheinen demgegenüber als vorge- schoben.</w:t>
      </w:r>
    </w:p>
    <w:p>
      <w:r>
        <w:t>- 12 -</w:t>
      </w:r>
    </w:p>
    <w:p>
      <w:r>
        <w:t>Zusammenfassend kann festgehalten werden, dass der von der Gesuchs- gegnerin behauptete Sachverhalt wenig glaubwürdig erscheint. Zum jetzi- gen Zeitpunkt bestehen etliche Hinweise, dass die Transaktionen getätigt wurden um C. Vermögenswerte zu beschaffen, ohne dabei die gesetzli- chen Abgaben zu leisten. Insbesondere die undurchsichtigen Konstellatio- nen, Geschäfte und Transaktionen ergeben – zumindest zum jetzigen Ver- fahrensstand – einen hinreichenden Tatverdacht hinsichtlich Abgabebe- trugs im Sinne von Art. 14 Abs. 2 VStrR i.V.m. Art. 61 VStG. Ob sich dieser Tatverdacht entkräftet oder erhärtet, ist unter anderem durch die Sichtung der fraglichen Akten und Datenträger zu ermitteln.</w:t>
      </w:r>
    </w:p>
    <w:p>
      <w:r>
        <w:rPr>
          <w:b/>
        </w:rPr>
        <w:t>E. 6.1</w:t>
      </w:r>
    </w:p>
    <w:p>
      <w:r>
        <w:t>Weiter ist zu prüfen, ob anzunehmen ist, dass sich unter den zu durchsu- chenden Papieren Schriften befinden, die für die Untersuchung von Bedeu- tung sind (Art. 50 Abs. 1 VStrR). Die Untersuchungsbehörden müssen hierbei jedoch noch nicht darlegen, inwiefern ein konkreter Sachzusam- menhang zwischen den Ermittlungen und einzelnen versiegelten Dokumen- ten besteht (vgl. TPF 2004 12 E. 2.1).</w:t>
      </w:r>
    </w:p>
    <w:p>
      <w:r>
        <w:rPr>
          <w:b/>
        </w:rPr>
        <w:t>E. 6.2</w:t>
      </w:r>
    </w:p>
    <w:p>
      <w:r>
        <w:t>Die Gesuchsgegnerin bringt vor, dem Entsiegelungsgesuch könne nicht entsprochen werden, da eine Vielzahl der sichergestellten Papiere und Da- tenträger keinen Zusammenhang zum Tatverdacht, wie er von der Ge- suchstellerin umschrieben werde, aufweise (act. 8, S. 22). Wie dem Proto- koll über die versiegelten Akten zu entnehmen ist, handelt sich bei den si- chergestellten Gegenstände um Ordner, Plastikdossiers, eine Festplatte, Datensicherungs-Kassetten, Computer, Datenstick, Disketten und diverse andere Unterlagen (act. 1.2). Gemäss übereinstimmender Aussagen der beiden Geschäftsführer der B. AG hätten sich diverse Unterlagen der B. AG bei der Gesuchsgegnerin befunden. Sie verfügte mithin über ent- sprechende Geschäftsunterlagen, wurden doch anlässlich der Hausdurch- suchung an ihrem Wohnort auch Ordner und sonstige Dokumente mit der Kennzeichnung B. AG, Zusatzvereinbarung, etc. sichergestellt. Somit lässt sich bereits aus dem Protokoll zu den versiegelten Akten entnehmen, dass diese einen potentiellen Zusammenhang zum fraglichen Strafverfahren aufweisen. Die Akten umfassen Unterlagen zur B. AG im Allgemeinen, in- soweit Dokumente, die für die weitere Untersuchung von Bedeutung sein können. Es entspricht der allgemeinen Lebenserfahrung, dass Informatio- nen über Geschäftstätigkeiten zusätzlich insbesondere auch auf Datenträ- gern abgespeichert werden. Die Durchsuchung der hier interessierenden Datenträger und der Dokumente sind demnach erforderlich und geeignet</w:t>
      </w:r>
    </w:p>
    <w:p>
      <w:r>
        <w:t>- 13 -</w:t>
      </w:r>
    </w:p>
    <w:p>
      <w:r>
        <w:t>im Hinblick auf die Feststellung des Vorhandenseins allfälliger Beweismit- tel.</w:t>
      </w:r>
    </w:p>
    <w:p>
      <w:r>
        <w:rPr>
          <w:b/>
        </w:rPr>
        <w:t>E. 6.3</w:t>
      </w:r>
    </w:p>
    <w:p>
      <w:r>
        <w:t>Die sichergestellten Akten und Datenträger sind weder zeitlich noch inhalt- lich offensichtlich ungeeignet, Beweise für die von der Gesuchstellerin ge- führte Steueruntersuchung zu erbringen. Es gilt zu beachten, dass nicht nur in den Geschäftsunterlagen des Geschäftsjahres 2009 für das von der Ge- suchstellerin geführte Verfahren, sondern auch Unterlagen aus anderen Jahren relevant sein können. Nicht lediglich die eigentliche Darlehensge- währung steht vorliegend zur Diskussion, sondern auch die vor- und nach- folgenden Transaktionen, welche auf eine Verschleierung der steuerlich re- levanten Vorgänge hinweisen. Zudem kann nicht ausgeschlossen werden, dass die übrigen Unterlagen Hinweise auf ein mutmasslich strafbares Ver- halten beinhalten. Dies gilt umso mehr, als im zugrundeliegenden Verfah- ren etliche Unternehmen involviert und deren Struktur bzw. Eigentumsver- hältnisse insbesondere wegen des Auslandbezugs intransparent ist. Zu- dem verkennt die Gesuchsgegnerin, dass im Rahmen einer Strafuntersu- chung grundsätzlich die hierfür verantwortliche untersuchende Behörde den Entscheid zu fällen hat, was im Zusammenhang mit dem von ihr ge- führten Verfahren beweisrelevant ist und was nicht. Erst nach erfolgter Durchsuchung wird die Strafuntersuchungsbehörde, also die Gesuchstelle- rin, mittels anfechtbarer Verfügung zu entscheiden haben, welche Unterla- gen sie als beweisrelevant erachtet und zu den Akten nehmen will. Unter- lagen, die keinen Zusammenhang mit der Strafuntersuchung aufweisen, hat sie nach erfolgter Durchsuchung umgehend der Gesuchsgegnerin aus- zuhändigen (vgl. TPF 2006 307 E. 2.1). Somit ist davon auszugehen, dass die sichergestellten Unterlagen für die Untersuchung von Bedeutung sein können. Hinweise, wonach die Entsiegelung unverhältnismässig wäre, sind keine ersichtlich. Vielmehr macht die Höhe der mutmasslich durch betrüge- rische Machenschaften rechtswidrig nicht geleisteten Abgaben die Verhält- nismässigkeit der Durchsuchung deutlich.</w:t>
      </w:r>
    </w:p>
    <w:p>
      <w:r>
        <w:rPr>
          <w:b/>
        </w:rPr>
        <w:t>E. 7.1</w:t>
      </w:r>
    </w:p>
    <w:p>
      <w:r>
        <w:t>Papiere sind mit grösstmöglicher Schonung der Privatgeheimnisse zu durchsuchen (Art. 50 Abs. 1 VStrR). Zudem sind bei der Durchsuchung das Amtsgeheimnis sowie Geheimnisse, die Geistlichen, Rechtsanwälten, No- taren, Ärzten, Apothekern, Hebammen und ihren beruflichen Gehilfen in ih- rem Amte oder Beruf anvertraut wurden, zu wahren (Art. 50 Abs. 2 VStrR).</w:t>
      </w:r>
    </w:p>
    <w:p>
      <w:r>
        <w:rPr>
          <w:b/>
        </w:rPr>
        <w:t>E. 7.2</w:t>
      </w:r>
    </w:p>
    <w:p>
      <w:r>
        <w:t>Amts- oder Berufsgeheimnisse im Sinne des Art. 50 Abs. 2 VStrR, die einer Durchsuchung der sichergestellten Akten und Datenträger entgegenstehen</w:t>
      </w:r>
    </w:p>
    <w:p>
      <w:r>
        <w:t>- 14 -</w:t>
      </w:r>
    </w:p>
    <w:p>
      <w:r>
        <w:t>würden, sind von der Gesuchsgegnerin zu Recht keine angerufen worden. Jedoch macht sie private Interessen und Geschäftsgeheimnisse unbeteilig- ter Dritter als Hinderungsgrund der Entsiegelung geltend. Sie unterlässt es im Weiteren jedoch, diese Hinderungsgründe genauer darzulegen, d.h. aufzuzeigen, welche Geschäftsgeheimnisse im Konkreten betroffen sein sollen. Überdies verkennt die Gesuchsgegnerin auch hier, dass erst nach erfolgter Durchsuchung die Gesuchstellerin mittels anfechtbarer Verfügung entscheiden wird, welche Unterlagen sie als beweisrelevant erachtet und zu den Akten nehmen will. Erst nach Erlass dieser anfechtbaren Verfügung ist zu entscheiden, ob allenfalls sicherzustellen ist, dass Dritte keine Akten- einsicht in diese speziellen, schützenswerten Dokumente erhalten. Dies gilt sowohl hinsichtlich möglicher Geschäfts- wie auch Privatgeheimnissen.</w:t>
      </w:r>
    </w:p>
    <w:p>
      <w:r>
        <w:rPr>
          <w:b/>
        </w:rPr>
        <w:t>E. 8</w:t>
      </w:r>
    </w:p>
    <w:p>
      <w:r>
        <w:t>Nach dem Gesagten ist das Entsiegelungsgesuch gutzuheissen und es ist die Gesuchstellerin zu ermächtigen, die versiegelten Dokumente und Da- tenträger zu entsiegeln und zu durchsuchen.</w:t>
      </w:r>
    </w:p>
    <w:p>
      <w:r>
        <w:rPr>
          <w:b/>
        </w:rPr>
        <w:t>E. 9</w:t>
      </w:r>
    </w:p>
    <w:p>
      <w:r>
        <w:t>Bei diesem Ausgang des Verfahrens hat die Gesuchsgegnerin als unterlie- gende Partei die Gerichtskosten zu tragen (Art. 25 Abs. 4 VStrR i.V.m. Art 66 Abs. 1 BGG analog, siehe dazu TPF 2011 25 E. 3). Die Gerichtsge- bühr ist auf Fr. 1'500.-- festzusetzen (Art. 8 des Reglements des Bundes- strafgerichts vom 31. August 2010 über die Kosten, Gebühren und Ent- 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