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BE.2012.4 vom 11. Juli 2012</w:t>
      </w:r>
    </w:p>
    <w:p>
      <w:r>
        <w:t>Bundesstrafgericht, 2012-07-11, DE</w:t>
      </w:r>
    </w:p>
    <w:p>
      <w:r>
        <w:rPr>
          <w:b/>
        </w:rPr>
        <w:t xml:space="preserve">Quelle: </w:t>
      </w:r>
      <w:r>
        <w:t>https://mcp.opencaselaw.ch/entscheid/bstger_BE.2012.4</w:t>
      </w:r>
    </w:p>
    <w:p>
      <w:r>
        <w:t>FR: TPF BE.2012.4 du 11 juillet 2012</w:t>
      </w:r>
    </w:p>
    <w:p>
      <w:r>
        <w:t>IT: TPF BE.2012.4 del 11 luglio 2012</w:t>
      </w:r>
    </w:p>
    <w:p>
      <w:pPr>
        <w:pStyle w:val="Heading2"/>
      </w:pPr>
      <w:r>
        <w:t>Regeste</w:t>
      </w:r>
    </w:p>
    <w:p>
      <w:r>
        <w:t>Entsiegelung (Art. 50 Abs. 3 VStrR).</w:t>
      </w:r>
    </w:p>
    <w:p>
      <w:pPr>
        <w:pStyle w:val="Heading2"/>
      </w:pPr>
      <w:r>
        <w:t>Erwägungen</w:t>
      </w:r>
    </w:p>
    <w:p>
      <w:r>
        <w:rPr>
          <w:b/>
        </w:rPr>
        <w:t>E. 1.1</w:t>
      </w:r>
    </w:p>
    <w:p>
      <w:r>
        <w:t>Für die Verfolgung und die Beurteilung strafbarer Handlungen nach dem KG gelten die Bestimmungen des VStrR (Art. 57 Abs. 1 KG). Verfolgende Behörde ist hierbei das Sekretariat der Wettbewerbskommission im Einver- nehmen mit einem Mitglied von deren Präsidium. Urteilende Behörde ist die Wettbewerbskommission (Art. 57 Abs. 2 KG). Die Wettbewerbsbehörden können Hausdurchsuchungen anordnen und Beweisgegenstände sicher- stellen. Für diese Zwangsmassnahmen sind die Art. 45 – 50 VStrR sinn- gemäss anwendbar (Art. 42 Abs. 2 KG).</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w:t>
      </w:r>
    </w:p>
    <w:p>
      <w:r>
        <w:t>- 4 -</w:t>
      </w:r>
    </w:p>
    <w:p>
      <w:r>
        <w:t>VStrR). Zur Einsprache gegen die Durchsuchung ist nur der Inhaber der 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w:t>
      </w:r>
    </w:p>
    <w:p>
      <w:r>
        <w:rPr>
          <w:b/>
        </w:rPr>
        <w:t>E. 1.3.1</w:t>
      </w:r>
    </w:p>
    <w:p>
      <w:r>
        <w:t>Die Gesuchsgegnerin bringt in formeller Hinsicht vor, die Gesuchstellerin habe vor dem Hintergrund der in Art. 248 Abs. 2 StPO vorgesehenen Frist von 20 Tagen zu lange mit der Einreichung des vorliegenden Gesuchs zu- gewartet. Das Gesuch sei daher als verspätet abzuweisen (act. 4, Rz. 76 ff.).</w:t>
      </w:r>
    </w:p>
    <w:p>
      <w:r>
        <w:rPr>
          <w:b/>
        </w:rPr>
        <w:t>E. 1.3.2</w:t>
      </w:r>
    </w:p>
    <w:p>
      <w:r>
        <w:t>Die Durchsuchung von Papieren im Verwaltungsstrafrecht richtet sich nach Art. 50 VStrR. Die entsprechende Regelung enthält keine zeitlichen Vorga- ben, innerhalb welcher Frist die ersuchende Behörde der Beschwerde- kammer ihr Entsiegelungsgesuch zu unterbreiten hat (Beschluss des Bun- desstrafgerichts BE.2011.6 vom 27. März 2012, E. 1.1.; Entscheid des Bundesstrafgerichts BE.2009.21 vom 14. Januar 2010, E. 1.4; siehe auch EICKER/FRANK/ACHERMANN, Verwaltungsstrafrecht und Verwaltungsstraf- verfahrensrecht, Bern 2012, S. 210), währenddem der am 1. Januar 2011 in Kraft getretene Art. 248 Abs. 2 StPO der Strafbehörde diesbezüglich ei- ne Verwirkungsfrist von 20 Tagen setzt. Die von der Gesuchsgegnerin an- geregte Anwendung von Art. 248 Abs. 2 StPO auf das vorliegende, im Rahmen eines Verwaltungsstrafverfahrens des Bundes gestellte Entsiege- lungsgesuch erweist sich aber als unzulässig. Art. 1 Abs. 2 StPO sieht vor, dass Verfahrensvorschriften anderer Bundesgesetze [gegenüber den Be- stimmungen der StPO] vorbehalten bleiben. Zu den Verfahrensgesetzen, die nicht von der StPO abgelöst wurden, sondern bestehen blieben, gehört das VStrR (WOHLERS, Kommentar zur Schweizerischen Strafprozessord- nung [StPO], Zürich/Basel/Genf 2010, Art. 1 StPO N. 13; STRAUB/WELTERT, Basler Kommentar, Basel 2011, Art. 1 StPO N. 12). Diese wurde vom Ge- setzgeber bei der der Vereinheitlichung des Strafprozessrechts bzw. beim Erlass der StPO bewusst ausgeklammert (vgl. hierzu die Botschaft vom 21. Dezember 2005 zur Vereinheitlichung des Strafprozessrechts, BBl 2006 S. 1086, 1127; Begleitbericht zum Vorentwurf für eine Schweize- rische Strafprozessordnung, Bern 2001, S. 31; Aus 29 mach 1 – Konzept einer eidgenössischen Strafprozessordnung, Bericht der Expertenkommis- sion "Vereinheitlichung des Strafprozessrechts", Bern 1997, S. 70). Im Be- reich des Verwaltungsstrafrechts des Bundes sind daher nur jene Regeln der StPO zur Anwendung zu bringen, auf welche das VStrR explizit ver-</w:t>
      </w:r>
    </w:p>
    <w:p>
      <w:r>
        <w:t>- 5 -</w:t>
      </w:r>
    </w:p>
    <w:p>
      <w:r>
        <w:t>weist (so z. B. in Art. 22 Abs. 2, Art. 41 Abs. 2, Art. 43 Abs. 2 VStrR u. a. mehr). Wo das VStrR – wie im Bereich der Durchsuchung von Papieren – eine eigene und von der Einführung der StPO nicht tangierte Regelung vorsieht, geht diese gegenüber den Bestimmungen der StPO als lex speci- alis vor (ARN/STEINER, Commentaire romand, Bâle 2011, n° 27 ad art. 1 CPP; BERNASCONI, Codice svizzero di procedura penale – Commentario, Zurigo/San Gallo 2010, n. 22 ad art. 1 CPP). Entsprechend ist die Abwei- sung des vorliegenden Gesuchs infolge Fristablaufs nicht möglich. Dem von der Beschwerdekammer in ihrem Entscheid BE.2009.21 vom 14. Ja- nuar 2010, E. 1.4 gemachten Hinweis an die Gesuchstellerin, sich bei wei- teren Entsiegelungsgesuchen an der Frist von 20 Tagen (gemäss Art. 248 Abs. 2 StPO) zu orientieren, kommt lediglich der Charakter einer Empfeh- lung zu, mit welcher dem auch im Verwaltungsstrafverfahrensrecht zu wah- renden Beschleunigungsgebot gebührend Rechnung getragen werden soll.</w:t>
      </w:r>
    </w:p>
    <w:p>
      <w:r>
        <w:rPr>
          <w:b/>
        </w:rPr>
        <w:t>E. 1.4</w:t>
      </w:r>
    </w:p>
    <w:p>
      <w:r>
        <w:t>Die Gesuchsgegnerin ist Inhaberin des versiegelten Datenträgers und da- her zur Einsprache legitimiert. Auf das Entsiegelungsgesuch ist nach dem Gesagten einzutreten.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den Entscheid des Bundesstrafgerichts BE.2010.17 vom 12. November 2010, E. 2 m.w.H.).</w:t>
      </w:r>
    </w:p>
    <w:p>
      <w:r>
        <w:rPr>
          <w:b/>
        </w:rPr>
        <w:t>E. 3.1</w:t>
      </w:r>
    </w:p>
    <w:p>
      <w:r>
        <w:t>Im Entsiegelungsentscheid ist vorab zu prüfen, ob ein hinreichender Tat- verdacht für eine Durchsuchung besteht. Dazu bedarf es zweier Elemente:</w:t>
      </w:r>
    </w:p>
    <w:p>
      <w:r>
        <w:t>- 6 -</w:t>
      </w:r>
    </w:p>
    <w:p>
      <w:r>
        <w:t>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 zen ausführlich den Entscheid des Bundesstrafgerichts BE.2006.7 vom 20. Februar 2007, E. 3.1 m.w.H.; die dort angeführten Überlegungen gelten gleichermassen auch für das Verwaltungsstrafverfahren, gibt es doch dies- bezüglich keinen sachlichen Grund für eine unterschiedliche Rechtsan- wendung).</w:t>
      </w:r>
    </w:p>
    <w:p>
      <w:r>
        <w:rPr>
          <w:b/>
        </w:rPr>
        <w:t>E. 3.2</w:t>
      </w:r>
    </w:p>
    <w:p>
      <w:r>
        <w:t>Die Gesuchstellerin begründet ihr Gesuch mit dem Verdacht, wonach die Gesuchsgegnerin als eines der dem Verband I. angeschlossenen Mitglie- der an unzulässigen Abreden über die direkte oder indirekte Festsetzung von Preisen (Art. 5 Abs. 3 lit. a KG) und/oder an unzulässigen Abreden über die Aufteilung von Märkten nach Gebieten (Art. 5 Abs. 3 lit. c KG) be- teiligt sei (act. 1, Rz. 8 – 17). Die entsprechende Untersuchung wurde aus- gelöst durch verschiedene Anzeigen und Meldungen von Dritten (act. 1.8). In der Meldung vom 22. September 2011 berichtet der Anzeigeerstatter, er habe beim Einholen von Offerten festgestellt, dass die Preise der Ge- suchsgegnerin und diejenigen der Konkurrentin J. sehr nahe beieinander gelegen hätten. Weiter habe er festgestellt, dass beide Anbieter jeweils zu Beginn des Jahres ihre Preise um 5% anheben würden, währenddem die entsprechenden Produkte im Ausland deutlich billiger seien (45% - 60%) und nicht teurer geworden seien bzw. der EURO-Wechselkurs bereits zu sinken begonnen habe. Einer weiteren Meldung ist zu entnehmen, dass sich im Bereich der Sanitäranlagen bei Internetangeboten die Preise meist gleichen bzw. nicht weit auseinander liegen würden. Die Meldung beinhal- tet auch Links auf Diskussionen in einschlägigen Internet-Foren, in welchen auch andere Nutzer diesen Umstand thematisieren. Nebst einer Meldung vom 1. November 2011, mit welcher ein Architekt auf angeblich "massiv überhöhte Preise im Baugewerbe" hinweist, legt die Gesuchstellerin eine weitere Anzeige vom 10. Oktober 2011 vor, mit welcher ebenfalls auf den Umstand hingewiesen wird, dass die Katalogpreise aller Anbieter von Sani- täranlagen in der Schweiz (so auch der Gesuchsgegnerin) dieselben seien, währenddem in Deutschland dieselben Produkte 2,6 x billiger zu haben seien. Die Tatsache, dass trotz Margen in diesem Bereich kein Anbieter fi- nanziell attraktivere Angebote mache, deute auf das Fehlen von echtem Wettbewerb bzw. auf das mögliche Bestehen wettbewerbsbeschränkender</w:t>
      </w:r>
    </w:p>
    <w:p>
      <w:r>
        <w:t>- 7 -</w:t>
      </w:r>
    </w:p>
    <w:p>
      <w:r>
        <w:t>Abreden hin. Gestützt auf diese Eingaben erstellte die Gesuchstellerin im Zeitraum vom 24. bis 26. September 2011 einen Preisvergleich verschie- dener Sanitäranlagen von insgesamt zehn Anbietern. Als Ergebnis dieses Vergleichs (act. 1.9) fällt auf, dass tatsächlich fast alle Anbieter für eine Reihe verschiedener Produkte exakt denselben Preis verlangen. Allenfalls bestehende Preisdifferenzen bewegen sich derweil in einem relativ kleinen Umfang.</w:t>
      </w:r>
    </w:p>
    <w:p>
      <w:r>
        <w:t>An dieser Stelle ist daran zu erinnern, dass zu Beginn eines Strafverfah- rens eine substantiierte Strafanzeige zur Begründung eines hinreichenden Tatverdachts genügen kann (vgl. hierzu den Entscheid des Bundesstrafge- richts BE.2004.10 vom 22. April 2005, E. 3.3.2). Die hier vorliegende Mehr- zahl – meist konkret formulierter – Anzeigen sowie die eigene Marktbeo- bachtung der Gesuchstellerin liefern demnach – entgegen den Ausführun- gen der Gesuchsgegnerin (siehe act. 4, Rz. 40 – 42) genügend konkrete Hinweise, welche im jetzigen Zeitpunkt zu Beginn der Untersuchung den hinreichenden Verdacht begründen, wonach im Markt der Sanitäranlagen unzulässige Preisabreden bestehen könnten. Die von der Gesuchsgegne- rin diesbezüglich vorgebrachten Einwendungen und Bestreitungen vermö- gen daran nichts zu ändern, wie nachfolgend aufzuzeigen ist.</w:t>
      </w:r>
    </w:p>
    <w:p>
      <w:r>
        <w:rPr>
          <w:b/>
        </w:rPr>
        <w:t>E. 3.3</w:t>
      </w:r>
    </w:p>
    <w:p>
      <w:r>
        <w:t>Die Ausführungen der Gesuchsgegnerin, wonach die Gesuchstellerin die Begriffe der Vermutung und des hinreichenden Verdachts vermische (act. 4, Rz. 45 ff.), müssen als konfus bezeichnet werden. Wie oben er- wähnt, zeichnet sich der hinreichende Tatverdacht gerade dadurch aus, dass dieser noch keine erhebliche oder hohe Wahrscheinlichkeit einer Ver- urteilung bedeutet (siehe E. 3.1 mit Hinweis). Die Unschuldsvermutung, auf welche sich die Gesuchsgegnerin an anderer Stelle selber beruft, untersagt es den staatlichen Behörden, die beschuldigte Person als schuldig hinzu- stellen oder zu behandeln, solange die allfällige Schuld nicht auf gesetz- mässige Weise vom zuständigen Gericht festgestellt worden ist (Verbot der Vorverurteilung; BGE 124 I 327 E. 3b). An den von der Gesuchsgegnerin kritisierten Formulierungen in act. 1.3 und 1.4, wonach vermutungsweise eine Preisabrede bzw. eine vermutete Widerhandlung vorliege, ist dem- nach nichts zu beanstanden.</w:t>
      </w:r>
    </w:p>
    <w:p>
      <w:r>
        <w:t>Aus den Hinweisen auf die Entscheide des Bundesstrafgerichts BE.2009.21 vom 14. Januar 2010 und BE.2007.10 vom 14. März 2008 vermag die Gesuchsgegnerin ebenso nichts zu ihren Gunsten abzuleiten. Im letztgenannten Fall lag zur Begründung des Tatverdachts eine Selbst- anzeige vor; im anderen Fall stammte die Anzeige ebenfalls von einer Per- son, welche hinsichtlich der Vorwürfe über sehr gute (interne) Detailkennt-</w:t>
      </w:r>
    </w:p>
    <w:p>
      <w:r>
        <w:t>- 8 -</w:t>
      </w:r>
    </w:p>
    <w:p>
      <w:r>
        <w:t>nisse verfügte. Im vorliegenden Fall stammen die Anzeigen von Kunden der nunmehr beschuldigten Unternehmungen, welche naturgemäss keinen Einblick in Internas dieser Firmen haben. Demzufolge kann der Konkretisie- rungsgrad der vorliegenden Meldungen nicht mit demjenigen einer Selbst- anzeige verglichen werden. Entscheidend ist, dass die hier vorliegenden Meldungen und Anzeigen hinreichend konkret und anhand eigener Beo- bachtungen der Gesuchstellerin auf ihre Stichhaltigkeit hin ein erstes Mal überprüft worden sind.</w:t>
      </w:r>
    </w:p>
    <w:p>
      <w:r>
        <w:t>Sofern die Gesuchsgegnerin weiter eigene Erklärungsansätze sowohl hin- sichtlich des Vorwurfs der Gebietsabreden (historisch gewachsene Tätig- keitsgebiete der einzelnen Anbieter; act. 4, Rz. 55 f.) als auch der Preisab- reden (Rabattwettbewerb; act. 4, Rz. 57 ff.) vorbringt, so wird der weitere Verlauf der Untersuchung aufzeigen müssen, ob sich der momentan be- stehende Verdacht der unzulässigen Wettbewerbsabreden weiter erhärten lassen kann oder nicht. Zumindest hinsichtlich des Rabattwettbewerbs kann den erwähnten Diskussionen in den Internet-Foren (siehe E. 3.2) ent- nommen werden, dass dieser angeblich nicht (immer) spielt.</w:t>
      </w:r>
    </w:p>
    <w:p>
      <w:r>
        <w:t>Abschliessend macht die Gesuchsgegnerin unter Hinweis auf eine am 11. Oktober 2006 abgeschlossene Vorabklärung bzw. auf eine in den Jah- ren 2010/11 durchgeführte Marktbeobachtung der Gesuchstellerin geltend, dass das vorliegende Verfahren bereits weit fortgeschritten sei und die Verdachtslage daher einer strengeren Prüfung zu unterziehen sei (act. 4, Rz. 60 ff.). Was die im Jahre 2006 abgeschlossene Vorabklärung anbetrifft, so betraf diese offensichtlich Sachverhalte, welche sich in den Jahren 2004 und 2005 ereigneten. Die nun vorliegende Untersuchung wurde am 22. November 2011 eröffnet, offenbar nach einer entsprechenden Vorab- klärung im Sinne von Art. 26 KG. Die Hausdurchsuchung, welche zur Si- cherstellung des vorliegend interessierenden Datenträgers führte, fand ebenfalls am 22. November 2011 statt. Von einem weit fortgeschrittenen Verfahren kann demnach keine Rede sein.</w:t>
      </w:r>
    </w:p>
    <w:p>
      <w:r>
        <w:rPr>
          <w:b/>
        </w:rPr>
        <w:t>E. 4.1</w:t>
      </w:r>
    </w:p>
    <w:p>
      <w:r>
        <w:t>Weiter ist zu prüfen, ob anzunehmen ist, dass sich unter den zu durchsu- chenden Papieren Schriften befinden, die für die Untersuchung von Bedeu- tung sind (Art. 50 Abs. 1 VStrR). Die Untersuchungsbehörden müssen hierbei jedoch noch nicht darlegen, inwiefern ein konkreter Sachzusam- menhang zwischen den Ermittlungen und einzelnen versiegelten Dokumen- ten besteht (vgl. TPF 2004 12 E. 2.1).</w:t>
      </w:r>
    </w:p>
    <w:p>
      <w:r>
        <w:t>- 9 -</w:t>
      </w:r>
    </w:p>
    <w:p>
      <w:r>
        <w:rPr>
          <w:b/>
        </w:rPr>
        <w:t>E. 4.2</w:t>
      </w:r>
    </w:p>
    <w:p>
      <w:r>
        <w:t>Der vorliegend bei der Gesuchsgegnerin sichergestellte Datenträger ist B. zuzuordnen. Er ist Mitglied des Verwaltungsrates der Gesuchsgegnerin, der C. Holding SA, der K. AG sowie der L. SA. Diese Unternehmen sind al- le Teil der C. Holding SA. Er ist zudem unternehmensinterner Rechtsbera- ter (act. 1.1, 1.5). Wie die Erfahrungen der Gesuchstellerin bestätigt haben, befinden sich Beweismittel zu allfälligen Abreden in der Regel in den Ge- schäftsräumlichkeiten bzw. auf den Computerservern und weiteren elektro- nischen Geräten in den Geschäftsräumlichkeiten der potentiellen Abrede- teilnehmer. Die Durchsuchung des hier interessierenden Datenträgers ist demnach erforderlich und geeignet im Hinblick auf die Feststellung des Vorhandenseins von allfälligen Beweismitteln im Hinblick auf den Untersu- chungsgegenstand. Den Einwendungen der Gesuchsgegnerin, wonach die Hausdurchsuchung selbst unverhältnismässig gewesen sei (act. 4, Rz. 71 ff.), fehlt es im vorliegenden Verfahren an Relevanz.</w:t>
      </w:r>
    </w:p>
    <w:p>
      <w:r>
        <w:rPr>
          <w:b/>
        </w:rPr>
        <w:t>E. 5.1</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rPr>
          <w:b/>
        </w:rPr>
        <w:t>E. 5.2</w:t>
      </w:r>
    </w:p>
    <w:p>
      <w:r>
        <w:t>Die Gesuchsgegnerin macht geltend, B. habe als Leiter des Rechtsdiens- tes des öfteren mündlichen und schriftlichen Kontakt zu externen Rechts- anwälten. Die entsprechende sich in den versiegelten Daten befindliche Korrespondenz und damit zusammenhängende Aufzeichnungen unterlä- gen daher dem Anwaltsgeheimnis (act. 4, Rz. 97). Sie beruft sich unter dem Aspekt des Geheimnisschutzes auf die Art. 264 Abs. 1 lit. c i.V.m. Art. 171 Abs. 1 StPO (act. 4, Rz. 95 f.). Wie bereits oben ausgeführt, sind die Bestimmungen des VStrR zur Durchsuchung von Papieren vom Ge- setzgeber bei der Schaffung der StPO bewusst nicht verändert worden (siehe E. 1.3.2). Der vom Bundesrat vorgeschlagenen Modifikation des Art. 46 Abs. 3 VStrR (siehe hierzu die Botschaft vom 26. Oktober 2011 zum Bundesgesetz über die Anpassung von verfahrensrechtlichen Bestimmun- gen zum anwaltlichen Berufsgeheimnis; BBl 2011 S. 8187 f., 8193) kommt keine gesetzlich vorgesehene Vorwirkung zu (siehe hierzu den Beschluss des Bundesstrafgerichts BE.2011.6 vom 27. März 2012, E. 4.2.1.2). Es bleibt daher bei der Anwendung von Art. 50 VStrR (siehe in diesem Sinne auch BGE 137 IV 145 E. 1.1), wobei auch die bisher zu dieser Bestimmung ergangene Rechtsprechung weiterhin zu beachten ist.</w:t>
      </w:r>
    </w:p>
    <w:p>
      <w:r>
        <w:t>- 10 -</w:t>
      </w:r>
    </w:p>
    <w:p>
      <w:r>
        <w:rPr>
          <w:b/>
        </w:rPr>
        <w:t>E. 5.3</w:t>
      </w:r>
    </w:p>
    <w:p>
      <w:r>
        <w:t>Vorliegend macht die Gesuchsgegnerin zu Recht nicht geltend, der sicher- gestellte Datenträger unterstehe dem Anwaltsgeheimnis, weil er dem Leiter ihres Rechtsdienstes zuzuordnen sei, denn das Anwaltsgeheimnis im Sin- ne von Art. 50 Abs. 2 VStrR gilt grundsätzlich nur für den unabhängigen und selbständigen Anwalt, nicht aber für den Unternehmensanwalt (TPF 2008 20 E. 6.2 und 6.3).</w:t>
      </w:r>
    </w:p>
    <w:p>
      <w:r>
        <w:t>Soweit sie geltend macht, die sich bei ihr befindende Korrespondenz mit Anwälten sei durch das Anwaltsgeheimnis geschützt, geht ihre Argumenta- tion fehl. In ihrem Entscheid BK_B 189/04 vom 28. Februar 2005 hat sich die Beschwerdekammer ausführlich zur Thematik des Schutzes der sich beim Beschuldigten befindenden Korrespondenz zwischen diesem und seinem Anwalt geäussert (vgl. dort E. 3.1 – 3.5). Zusammenfassend kam sie zum Schluss, dass sich der Klient als Inhaber der sichergestellten Pa- piere nicht auf das Anwaltsgeheimnis berufen könne, um sich der Durchsu- chung zu widersetzen (E. 3.1; insofern übereinstimmend mit dem Urteil des Bundesgerichts 1B_101/2008 vom 28. Oktober 2008, E. 4.4.1). Vielmehr stehe dem Beschuldigten gestützt auf die Verfahrensgarantien gemäss Art. 6 Ziff. 3 lit. b und c EMRK bzw. Art. 31 Abs. 2 und Art. 32 Abs. 2 BV das Recht zu, mit seinem Verteidiger frei zu verkehren. Hieraus ergebe sich zu dessen Gunsten auch der Anspruch, wonach die im Rahmen des gegen ihn laufenden Strafverfahrens ergangene Korrespondenz zwischen ihm und seinem Verteidiger nicht durchsucht werden dürfe (E. 3.5). Andere von Anwälten erstellte Dokumente, die sich beim Beschuldigten befinden, unterlägen demgegenüber grundsätzlich der Beschlagnahme bzw. könnten durch die Strafverfolgungsbehörden eingesehen werden (mit Hinweis auf das Urteil des Bundesgerichts 1P.133/2004 vom 13. August 2004, E. 3.3; vgl. zum Ganzen auch den Beschluss des Bundesstrafgerichts BE.2011.6 vom 27. März 2012, E. 4.2.1, sowie den Entscheid des Bundesstrafgerichts BE.2009.21 vom 14. Januar 2010, E. 4.2). Dass es sich bei Teilen der vor- liegend sichergestellten elektronischen Daten um geschützte Korrespon- denz mit dem Verteidiger handelt, wird von der Gesuchsgegnerin nicht gel- tend macht. Angesichts des zeitlichen Ablaufs, bei welchem die Eröffnung der Untersuchung quasi mit der Hausdurchsuchung zusammen fiel, ist Sol- ches auch nicht möglich.</w:t>
      </w:r>
    </w:p>
    <w:p>
      <w:r>
        <w:rPr>
          <w:b/>
        </w:rPr>
        <w:t>E. 6</w:t>
      </w:r>
    </w:p>
    <w:p>
      <w:r>
        <w:t>Nach dem Gesagten ist das Entsiegelungsgesuch gutzuheissen und es ist die Gesuchstellerin zu ermächtigen, den eingereichten Datenträger zu ent- siegeln und zu durchsuchen.</w:t>
      </w:r>
    </w:p>
    <w:p>
      <w:r>
        <w:t>- 11 -</w:t>
      </w:r>
    </w:p>
    <w:p>
      <w:r>
        <w:rPr>
          <w:b/>
        </w:rPr>
        <w:t>E. 7</w:t>
      </w:r>
    </w:p>
    <w:p>
      <w:r>
        <w:t>Bei diesem Ausgang des Verfahrens hat die Gesuchsgegnerin als unterlie- gende Partei die Gerichtskosten zu tragen (Art. 25 Abs. 4 VStrR i.V.m. Art 66 Abs. 1 BGG analog, siehe dazu TPF 2011 25 E. 3). Die Gerichtsge- bühr ist auf Fr. 1'500.-- festzusetzen (Art. 8 des Reglements des Bundes- 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