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BE.2012.2 vom 4. April 2012</w:t>
      </w:r>
    </w:p>
    <w:p>
      <w:r>
        <w:t>Bundesstrafgericht, 2012-04-04, DE</w:t>
      </w:r>
    </w:p>
    <w:p>
      <w:r>
        <w:rPr>
          <w:b/>
        </w:rPr>
        <w:t xml:space="preserve">Quelle: </w:t>
      </w:r>
      <w:r>
        <w:t>https://mcp.opencaselaw.ch/entscheid/bstger_BE.2012.2</w:t>
      </w:r>
    </w:p>
    <w:p>
      <w:r>
        <w:t>FR: TPF BE.2012.2 du 4 avril 2012</w:t>
      </w:r>
    </w:p>
    <w:p>
      <w:r>
        <w:t>IT: TPF BE.2012.2 del 4 aprile 2012</w:t>
      </w:r>
    </w:p>
    <w:p>
      <w:pPr>
        <w:pStyle w:val="Heading2"/>
      </w:pPr>
      <w:r>
        <w:t>Regeste</w:t>
      </w:r>
    </w:p>
    <w:p>
      <w:r>
        <w:t>Entsiegelung (Art. 9 IRSG i.V.m. Art. 248 StPO).</w:t>
      </w:r>
    </w:p>
    <w:p>
      <w:pPr>
        <w:pStyle w:val="Heading2"/>
      </w:pPr>
      <w:r>
        <w:t>Erwägungen</w:t>
      </w:r>
    </w:p>
    <w:p>
      <w:r>
        <w:rPr>
          <w:b/>
        </w:rPr>
        <w:t>E. 1</w:t>
      </w:r>
    </w:p>
    <w:p>
      <w:r>
        <w:t>In Verfahren der zwischenstaatlichen Zusammenarbeit in Strafsachen gel- ten für die Durchsuchung von Aufzeichnungen und die Siegelung die Art. 246 – 248 StPO sinngemäss (Art. 9 IRSG). Die Zuständigkeit der Be- schwerdekammer zum Entscheid über das vorliegende Entsiegelungsge- such ergibt sich aus Art. 12 Abs. 1 Satz 2 IRSG i.V.m. Art. 25 Abs. 1 und Art. 50 Abs. 3 VStrR, nachdem die sinngemässe Anwendung von Art. 248 Abs. 3 lit. a StPO hinsichtlich der Zuständigkeit zu keinem Ergebnis führt (siehe hierzu das Urteil des Bundesgerichts 1C_365/2011 vom 6. Janu- ar 2012, E. 2).</w:t>
      </w:r>
    </w:p>
    <w:p>
      <w:r>
        <w:rPr>
          <w:b/>
        </w:rPr>
        <w:t>E. 2.1</w:t>
      </w:r>
    </w:p>
    <w:p>
      <w:r>
        <w:t>Gemäss Art. 9 IRSG i.V.m. Art. 248 Abs. 1 StPO sind Aufzeichnungen und Gegenstände, die nach Angaben der Inhaberin oder des Inhabers wegen eines Aussage- oder Zeugnisverweigerungsrechts oder aus anderen Grün- den nicht durchsucht oder beschlagnahmt werden dürfen, zu versiegeln und dürfen von den Strafbehörden weder eingesehen noch verwendet wer- den. Stellt die Strafbehörde nicht innert 20 Tagen ein Entsiegelungsgesuch, so werden die versiegelten Aufzeichnungen und Gegenstände der berech- tigten Person zurückgegeben (Art. 9 IRSG i.V.m. Art. 248 Abs. 2 StPO). Das Entsiegelungsgesuch ist zu begründen (THORMANN/BRECHBÜHL, Bas- ler Kommentar, Basel 2011, Art. 248 StPO N. 22).</w:t>
      </w:r>
    </w:p>
    <w:p>
      <w:r>
        <w:rPr>
          <w:b/>
        </w:rPr>
        <w:t>E. 2.2</w:t>
      </w:r>
    </w:p>
    <w:p>
      <w:r>
        <w:t>Vorerst gilt zu prüfen, ob die Siegelung rechtmässig erfolgte. Nur der Ge- wahrsamsinhaber im engeren Sinne ist zum Antrag auf Siegelung berech- tigt. Vom Antragsrecht ausgeschlossen ist bei banklagernden Unterlagen somit insbesondere der Kontoinhaber. In einer solchen Konstellation steht das Antragsrecht einzig der gewahrsamsinhabenden Bank zu (Entscheid des Bundesstrafgerichts BE.2011.1 vom 4. Juli 2011, E. 1.2 und 1.3 sowie</w:t>
      </w:r>
    </w:p>
    <w:p>
      <w:r>
        <w:t>- 4 -</w:t>
      </w:r>
    </w:p>
    <w:p>
      <w:r>
        <w:t>THORMANN/BRECHBÜHL, a.a.O., Art. 248 StPO N. 6, je mit weiteren Hinwei- sen).</w:t>
      </w:r>
    </w:p>
    <w:p>
      <w:r>
        <w:rPr>
          <w:b/>
        </w:rPr>
        <w:t>E. 2.3</w:t>
      </w:r>
    </w:p>
    <w:p>
      <w:r>
        <w:t>Vorliegend wurden Kontounterlagen des Gesuchsgegners bei der Bank C. AG ediert. In der Folge stellte er als Kontoinhaber am 3. Juni 2011 bei der Zollkreisdirektion Schaffhausen, Sektion Zollfahndung (act. 1.5) den Antrag auf Siegelung, welchem entsprochen wurde (act. 1.8). Damit steht fest, dass der Siegelungsantrag nicht seitens der Bank als Gewahrsamsinhabe- rin, sondern seitens des Kontoinhabers erfolgte. Diesem steht jedoch ge- gen die Durchsuchung der Unterlagen gerade keine Einsprachemöglichkeit zu. Die Gesuchstellerin hätte diese unzulässige, weil vom Kontoinhaber er- hobene Einsprache mittels einer Verfügung abweisen müssen (vgl. hierzu bereits den Entscheid des Bundesstrafgerichts BE.2011.1 vom 4. Juli 2011, E. 1.4; mit Hinweis auf den Entscheid des Bundesstrafgerichts BE.2006.7 vom 20. Februar 2007, E. 5; sowie THORMANN/BRECHBÜHL, a.a.O., Art. 248 StPO N. 32; KELLER, Kommentar zur Schweizerischen Strafprozessord- nung [StPO], Zürich/Basel/Genf 2010, Art. 248 StPO N. 43).</w:t>
      </w:r>
    </w:p>
    <w:p>
      <w:r>
        <w:rPr>
          <w:b/>
        </w:rPr>
        <w:t>E. 2.4</w:t>
      </w:r>
    </w:p>
    <w:p>
      <w:r>
        <w:t>Nach dem Gesagten erweist sich die Siegelung, mangels Legitimation hin- sichtlich des Siegelungsantrags des Gesuchsgegners, als ungültig, womit das angebrachte Siegel zu Unrecht als verbindlich eingestuft und das vor- liegende Entsiegelungsgesuch gestellt wird. Auf dieses ist aus den genann- ten Gründen nicht einzutreten. Die Gesuchstellerin ist ohne Weiteres be- rechtigt, das Siegel zu entfernen, die Unterlagen zu durchsuchen und an- schliessend mittels einer Verfügung zu entscheiden, welche Papiere sie beschlagnahmen und zu den Akten nehmen will.</w:t>
      </w:r>
    </w:p>
    <w:p>
      <w:r>
        <w:rPr>
          <w:b/>
        </w:rPr>
        <w:t>E. 3.1</w:t>
      </w:r>
    </w:p>
    <w:p>
      <w:r>
        <w:t>Hinsichtlich der Kosten- und Entschädigungsfolgen des vorliegenden Ent- siegelungsentscheides führt die Verweisung in Art. 9 IRSG ebenfalls zu keinem Ergebnis. Gemäss Art. 12 Abs. 1 Satz 2 IRSG gelten vorliegend daher grundsätzlich die Bestimmungen des VStrR. Gemäss Art. 25 Abs. 4 VStrR richtet sich die Kostenpflicht im Beschwerdeverfahren vor der Be- schwerdekammer nach Art. 73 StBOG; Art. 73 StBOG verweist seinerseits auf das Reglement des Bundesstrafgerichts vom 31. August 2010 über die Kosten, Gebühren und Entschädigungen in Bundesstrafverfahren (BStKR, SR 173.713.162). Da dem BStKR jedoch keine Regelung über die Verle- gung der Gerichtskosten entnommen werden kann, ist ergänzend die Re- gelung des BGG anzuwenden (siehe hierzu TPF BV.2010.78 vom 28. Ja- nuar 2011 E. 3, zur Publikation vorgesehen).</w:t>
      </w:r>
    </w:p>
    <w:p>
      <w:r>
        <w:t>- 5 -</w:t>
      </w:r>
    </w:p>
    <w:p>
      <w:r>
        <w:rPr>
          <w:b/>
        </w:rPr>
        <w:t>E. 3.2</w:t>
      </w:r>
    </w:p>
    <w:p>
      <w:r>
        <w:t>Dem Ausgang des vorliegenden Verfahrens entsprechend wird auf die Er- hebung von Gerichtskosten verzichtet (Art. 66 Abs. 4 BGG analog).</w:t>
      </w:r>
    </w:p>
    <w:p>
      <w:r>
        <w:rPr>
          <w:b/>
        </w:rPr>
        <w:t>E. 3.3</w:t>
      </w:r>
    </w:p>
    <w:p>
      <w:r>
        <w:t>Die Gesuchstellerin hat dem Gesuchsgegner für das vorliegende Verfahren eine Parteientschädigung zu leisten (Art. 68 Abs. 1 und 2 BGG analog). Diese wird festgesetzt auf Fr. 1'500.-- (inkl. Auslagen und MwSt; Art. 10 und 12 Abs. 2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