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BE.2012.1 vom 21. März 2012</w:t>
      </w:r>
    </w:p>
    <w:p>
      <w:r>
        <w:t>Bundesstrafgericht, 2012-03-21, DE</w:t>
      </w:r>
    </w:p>
    <w:p>
      <w:r>
        <w:rPr>
          <w:b/>
        </w:rPr>
        <w:t xml:space="preserve">Quelle: </w:t>
      </w:r>
      <w:r>
        <w:t>https://mcp.opencaselaw.ch/entscheid/bstger_BE.2012.1</w:t>
      </w:r>
    </w:p>
    <w:p>
      <w:r>
        <w:t>FR: TPF BE.2012.1 du 21 mars 2012</w:t>
      </w:r>
    </w:p>
    <w:p>
      <w:r>
        <w:t>IT: TPF BE.2012.1 del 21 marzo 2012</w:t>
      </w:r>
    </w:p>
    <w:p>
      <w:pPr>
        <w:pStyle w:val="Heading2"/>
      </w:pPr>
      <w:r>
        <w:t>Regeste</w:t>
      </w:r>
    </w:p>
    <w:p>
      <w:r>
        <w:t>Entsiegelung (Art. 9 IRSG i.V.m. Art. 248 StPO).</w:t>
      </w:r>
    </w:p>
    <w:p>
      <w:pPr>
        <w:pStyle w:val="Heading2"/>
      </w:pPr>
      <w:r>
        <w:t>Erwägungen</w:t>
      </w:r>
    </w:p>
    <w:p>
      <w:r>
        <w:rPr>
          <w:b/>
        </w:rPr>
        <w:t>E. 1</w:t>
      </w:r>
    </w:p>
    <w:p>
      <w:r>
        <w:t>In Verfahren der zwischenstaatlichen Zusammenarbeit in Strafsachen gel- ten für die Durchsuchung von Aufzeichnungen und die Siegelung die Art. 246 – 248 StPO sinngemäss (Art. 9 IRSG). Die Zuständigkeit der Be- schwerdekammer zum Entscheid über das vorliegende Entsiegelungsge- such ergibt sich aus Art. 12 Abs. 1 Satz 2 IRSG i.V.m. Art. 25 Abs. 1 und Art. 50 Abs. 3 VStrR, nachdem die sinngemässe Anwendung von Art. 248 Abs. 3 lit. a StPO hinsichtlich der Zuständigkeit zu keinem Ergebnis führt (siehe hierzu das Urteil des Bundesgerichts 1C_365/2011 vom 6. Janu- ar 2012, E. 2).</w:t>
      </w:r>
    </w:p>
    <w:p>
      <w:r>
        <w:rPr>
          <w:b/>
        </w:rPr>
        <w:t>E. 2.1</w:t>
      </w:r>
    </w:p>
    <w:p>
      <w:r>
        <w:t>Gemäss Art. 9 IRSG i.V.m. Art. 248 Abs. 1 StPO sind Aufzeichnungen und Gegenstände, die nach Angaben der Inhaberin oder des Inhabers wegen eines Aussage- oder Zeugnisverweigerungsrechts oder aus anderen Grün- den nicht durchsucht oder beschlagnahmt werden dürfen, zu versiegeln und dürfen von den Strafbehörden weder eingesehen noch verwendet wer- den. Stellt die Strafbehörde nicht innert 20 Tagen ein Entsiegelungsgesuch, so werden die versiegelten Aufzeichnungen und Gegenstände der berech- tigten Person zurückgegeben (Art. 9 IRSG i.V.m. Art. 248 Abs. 2 StPO).</w:t>
      </w:r>
    </w:p>
    <w:p>
      <w:r>
        <w:rPr>
          <w:b/>
        </w:rPr>
        <w:t>E. 2.2</w:t>
      </w:r>
    </w:p>
    <w:p>
      <w:r>
        <w:t>Die Strafbehörde verfügt somit über eine Frist von 20 Tagen, um das Ent- siegelungsgesuch einzureichen. Die Frist ist eine gesetzliche und als sol- che nicht verlängerbar (Art. 89 Abs. 1 StPO; vgl. SCHMID, Praxiskommen-</w:t>
      </w:r>
    </w:p>
    <w:p>
      <w:r>
        <w:t>- 4 -</w:t>
      </w:r>
    </w:p>
    <w:p>
      <w:r>
        <w:t>tar, Zürich/St. Gallen 2009, Art. 248 StPO N. 8; DERS., Handbuch des schweizerischen Strafprozessrechts, Zürich/St. Gallen 2009, N. 1078). Sie ist es auch dann nicht, wenn bei Vergleichsverhandlungen im Rahmen der Siegelung zwischen der Strafbehörde und dem Inhaber Letzterer in eine Fristerstreckung einwilligt. Das Gesetz hält weiter fest, dass die Nichtein- haltung der Frist zur Rückgabe der Gegenstände führt; in diesem Sinne ist sie als Verwirkungsfrist zu qualifizieren (vgl. zum Ganzen THOR- MANN/BRECHBÜHL, Basler Kommentar, Basel 2011, Art. 248 StPO N. 18 m.w.H.; siehe auch KELLER, Kommentar zur Schweizerischen Strafpro- zessordnung [StPO], Zürich/Basel/Genf 2010, Art. 248 StPO N. 37; CHIRA- ZI, Commentaire romand, Bâle 2011, n° 10 ad art. 248 CPP; PIQUE- REZ/MACALUSO, Procédure pénale suisse, 3ème éd., Genève/Zurich/ Bâle 2011, n° 1349; a. M. einzig BERNASCONI, Banche e imprese nel pro- cedimento penale, Basilea 2011, n. 583, der sowohl die Frist nach Art. 248 Abs. 2 StPO als auch diejenige nach Art. 248 Abs. 3 StPO als blosse Ord- nungsfristen bezeichnet).</w:t>
      </w:r>
    </w:p>
    <w:p>
      <w:r>
        <w:rPr>
          <w:b/>
        </w:rPr>
        <w:t>E. 2.3</w:t>
      </w:r>
    </w:p>
    <w:p>
      <w:r>
        <w:t>Vorliegend erfolgte die Versiegelung der Unterlagen am Mittwoch,</w:t>
      </w:r>
    </w:p>
    <w:p>
      <w:r>
        <w:rPr>
          <w:b/>
        </w:rPr>
        <w:t>E. 4</w:t>
      </w:r>
    </w:p>
    <w:p>
      <w:r>
        <w:t>Mai 2011 auf Verlangen von B. (als einzigem Verwaltungsratsmitglied der Gesuchsgegnerin mit Einzelunterschrift) „vorsorglich“ versiegelt wor- den. Am 17. Mai 2011 seien alle bei der A. SA sowie bei B. selbst be- schlagnahmten Unterlagen in Anwesenheit von Mitarbeitern der Zollfahn- dung, der am Verfahren beteiligten ausländischen Beamten sowie von B. und dessen Vertreter ausgeschieden worden. Nach Rücksprache mit sei- nem Anwalt habe B. am 17. Mai 2011 „definitiv“ die Versiegelung der vor- liegend noch zur Diskussion stehenden Unterlagen verlangt (RR.2011.139, act. 1, Ziff. I, S. 2). Sollte die Gesuchstellerin tatsächlich annehmen, die Frist von 20 Tagen gemäss Art. 248 Abs. 2 StPO sei vorliegend erst am 17. Mai 2011 ausgelöst worden, so verkennt sie, dass die Frist unmittelbar bei der anlässlich der Hausdurchsuchung erfolgten Versiegelung zu laufen begann und durch die nachfolgenden Verhandlungen eben gerade nicht verlängert wurde (siehe THORMANN/BRECHBÜHL, a.a.O.).</w:t>
      </w:r>
    </w:p>
    <w:p>
      <w:r>
        <w:t>Das vorliegende Entsiegelungsgesuch erweist sich daher als verspätet, weshalb auf dieses nicht eingetreten werden kann. Die noch versiegelten</w:t>
      </w:r>
    </w:p>
    <w:p>
      <w:r>
        <w:t>- 5 -</w:t>
      </w:r>
    </w:p>
    <w:p>
      <w:r>
        <w:t>Unterlagen sind der Gesuchsgegnerin in Anwendung von Art. 9 IRSG i.V.m. Art. 248 Abs. 2 StPO zurückzugeben.</w:t>
      </w:r>
    </w:p>
    <w:p>
      <w:r>
        <w:t>3.</w:t>
      </w:r>
    </w:p>
    <w:p>
      <w:r>
        <w:t>3.1 Hinsichtlich der Kosten- und Entschädigungsfolgen des vorliegenden Ent- siegelungsentscheides führt die Verweisung in Art. 9 IRSG ebenfalls zu keinem Ergebnis. Gemäss Art. 12 Abs. 1 Satz 2 IRSG gelten vorliegend daher grundsätzlich die Bestimmungen des VStrR. Gemäss Art. 25 Abs. 4 VStrR richtet sich die Kostenpflicht im Beschwerdeverfahren vor der Be- schwerdekammer nach Art. 73 StBOG; Art. 73 StBOG verweist seinerseits auf das Reglement des Bundesstrafgerichts vom 31. August 2010 über die Kosten, Gebühren und Entschädigungen in Bundesstrafverfahren (BStKR, SR 173.713.162). Da dem BStKR jedoch keine Regelung über die Verle- gung der Gerichtskosten entnommen werden kann, ist ergänzend die Re- gelung des BGG anzuwenden (siehe hierzu TPF BV.2010.78 vom 28. Ja- nuar 2011 E. 3, zur Publikation vorgesehen).</w:t>
      </w:r>
    </w:p>
    <w:p>
      <w:r>
        <w:t>3.2 Dem Ausgang des vorliegenden Verfahrens entsprechend wird auf die Er- hebung von Gerichtskosten verzichtet (Art. 66 Abs. 4 BGG analog).</w:t>
      </w:r>
    </w:p>
    <w:p>
      <w:r>
        <w:t>3.3 Die Gesuchstellerin hat der Gesuchsgegnerin für das vorliegende Verfah- ren eine Parteientschädigung zu leisten (Art. 68 Abs. 1 und 2 BGG analog). Diese wird festgesetzt auf Fr. 1'500.-- (inkl. Auslagen und MwSt.; Art. 10 und 12 Abs. 2 BStKR).</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