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BE.2011.1 vom 4. Juli 2011</w:t>
      </w:r>
    </w:p>
    <w:p>
      <w:r>
        <w:t>Bundesstrafgericht, 2011-07-04, DE</w:t>
      </w:r>
    </w:p>
    <w:p>
      <w:r>
        <w:rPr>
          <w:b/>
        </w:rPr>
        <w:t xml:space="preserve">Quelle: </w:t>
      </w:r>
      <w:r>
        <w:t>https://mcp.opencaselaw.ch/entscheid/bstger_BE.2011.1</w:t>
      </w:r>
    </w:p>
    <w:p>
      <w:r>
        <w:t>FR: TPF BE.2011.1 du 4 juillet 2011</w:t>
      </w:r>
    </w:p>
    <w:p>
      <w:r>
        <w:t>IT: TPF BE.2011.1 del 4 luglio 2011</w:t>
      </w:r>
    </w:p>
    <w:p>
      <w:pPr>
        <w:pStyle w:val="Heading2"/>
      </w:pPr>
      <w:r>
        <w:t>Regeste</w:t>
      </w:r>
    </w:p>
    <w:p>
      <w:r>
        <w:t>Entsiegelung (Art. 50 Abs. 3 VStrR).</w:t>
      </w:r>
    </w:p>
    <w:p>
      <w:pPr>
        <w:pStyle w:val="Heading2"/>
      </w:pPr>
      <w:r>
        <w:t>Erwägungen</w:t>
      </w:r>
    </w:p>
    <w:p>
      <w:r>
        <w:rPr>
          <w:b/>
        </w:rPr>
        <w:t>E. 1.1</w:t>
      </w:r>
    </w:p>
    <w:p>
      <w:r>
        <w:t>Gemäss Art. 90 Abs. 1 HMG wird die Strafverfolgung im Vollzugsbereich des Bundes von der Gesuchstellerin nach den Bestimmungen des VStrR geführt.</w:t>
      </w:r>
    </w:p>
    <w:p>
      <w:r>
        <w:rPr>
          <w:b/>
        </w:rPr>
        <w:t>E. 1.2</w:t>
      </w:r>
    </w:p>
    <w:p>
      <w:r>
        <w:t>Werden im Verwaltungsstrafverfahren Papiere und Datenträger durchsucht, so ist dem Inhaber derselben wenn immer möglich vor der Durchsuchung Gelegenheit zu geben, sich über deren Inhalt auszusprechen. Erhebt er gegen die Durchsuchung Einsprache, so werden die Papiere vorläufig ver- siegelt und verwahrt (Art. 50 Abs. 3 VStrR). Entgegen den diesbezüglichen Ausführungen der Gesuchstellerin ist zur Einsprache gegen die Durchsu- chung nur der Inhaber der Papiere legitimiert (Urteil des Bundesgerichts 1S.28/2005 vom 27. September 2005, E. 2.4.2, mit Hinweis auf den Ent- scheid des Bundesstrafgerichts BV.2005.20 vom 23. Juni 2005, E. 2.1.1; der Hinweis der Gesuchstellerin auf den bei HAURI, Verwaltungsstrafrecht [VStrR], Bern 1998, S. 125, angeführten BGE 104 IV 125 E. 1 ist durch die erwähnte Rechtsprechung überholt worden).</w:t>
      </w:r>
    </w:p>
    <w:p>
      <w:r>
        <w:rPr>
          <w:b/>
        </w:rPr>
        <w:t>E. 1.3</w:t>
      </w:r>
    </w:p>
    <w:p>
      <w:r>
        <w:t>Vorliegend geht es um Unterlagen, welche bei der Gesuchsgegnerin (der Bank) vorhanden und von dieser herauszugeben waren, weshalb die Bank – und nur diese – als Inhaberin der Papiere im Sinne von Art. 50 Abs. 3 VStrR anzusehen ist. Im vorliegenden Fall kann die Siegelung deshalb ausschliesslich seitens der Gesuchsgegnerin verlangt werden und nicht durch die D. LP, welche zwar Kontoinhaberin, nicht aber Inhaberin der vor- liegend in Frage stehenden Bankunterlagen ist.</w:t>
      </w:r>
    </w:p>
    <w:p>
      <w:r>
        <w:rPr>
          <w:b/>
        </w:rPr>
        <w:t>E. 1.4</w:t>
      </w:r>
    </w:p>
    <w:p>
      <w:r>
        <w:t>Die Gesuchsgegnerin hat die entsprechenden Unterlagen mit Begleit- schreiben vom 27. Mai 2011 (act. 1.2) bei der Gesuchstellerin in versiegel- ter Form eingereicht. Im Begleitschreiben führte die Gesuchsgegnerin aus, dass sie dieses Vorgehen zum Schutze des Beschwerderechts der von der Strafuntersuchung betroffenen Gesellschaft wähle. Weder im erwähnten Begleitschreiben noch in der Gesuchsantwort (act. 3) hat die Gesuchsgeg- nerin das Vorliegen von der Durchsuchung entgegen stehenden Amts- oder Berufsgeheimnissen im Sinne des Art. 50 Abs. 2 VStrR oder von ei- genen Privat- bzw. Geschäftsgeheimnissen geltend gemacht, auf welche bei der Durchsuchung der Unterlagen Rücksicht zu nehmen wäre (Art. 50 Abs. 1 VStrR). Dieses Vorgehen kann nur so verstanden werden, dass sie nicht in eigenem Namen und in eigenem Interesse, sondern in demjenigen der Kontoinhaberin handelte, welcher gegen die Durchsuchung der Unter- lagen gerade keine Einsprachemöglichkeit zusteht. Die Gesuchstellerin</w:t>
      </w:r>
    </w:p>
    <w:p>
      <w:r>
        <w:t>- 4 -</w:t>
      </w:r>
    </w:p>
    <w:p>
      <w:r>
        <w:t>hätte diese unzulässige, weil ausschliesslich im Interesse der Kontoinhabe- rin erhobene Einsprache der Gesuchsgegnerin mittels einer Verfügung ab- weisen müssen (vgl. hierzu bereits den Entscheid des Bundesstrafgerichts BE.2008.4 vom 26. Juni 2008, E. 1.3; mit Hinweis auf den Entscheid des Bundesstrafgerichts BE.2006.7 vom 20. Februar 2007, E. 5; vgl. zur selben Thematik im Geltungsbereich der neuen StPO THORMANN/BRECHBÜHL, Basler Kommentar, Basel 2011, Art. 248 StPO N. 32; KELLER, Kommentar zur Schweizerischen Strafprozessordnung [StPO], Zürich/Basel/Genf 2010, Art. 248 StPO N. 43).</w:t>
      </w:r>
    </w:p>
    <w:p>
      <w:r>
        <w:rPr>
          <w:b/>
        </w:rPr>
        <w:t>E. 1.5</w:t>
      </w:r>
    </w:p>
    <w:p>
      <w:r>
        <w:t>Die Gesuchstellerin hat das von der Gesuchsgegnerin angebrachte Privat- siegel nach dem Gesagten zu Unrecht als verbindlich eingestuft und das vorliegende Entsiegelungsgesuch gestellt. Auf dieses ist aus den genann- ten Gründen nicht einzutreten. Die Gesuchstellerin ist ohne Weiteres be- rechtigt, das Privatsiegel der Gesuchsgegnerin zu brechen, die Unterlagen zu durchsuchen und anschliessend mittels beschwerdefähiger Verfügung zu entscheiden, welche Papiere sie beschlagnahmen und zu den Akten nehmen will.</w:t>
      </w:r>
    </w:p>
    <w:p>
      <w:r>
        <w:rPr>
          <w:b/>
        </w:rPr>
        <w:t>E. 2</w:t>
      </w:r>
    </w:p>
    <w:p>
      <w:r>
        <w:t>Bei diesem Ausgang des Verfahrens sind keine Gerichtskosten zu erheben (Art. 66 Abs. 1 und 4 BGG analog; vgl. hierzu den Beschluss des Bundes- strafgerichts BV.2011.2 vom 16. März 2011, E. 2, sowie den Entscheid des Bundesstrafgerichts BV.2010.77 vom 12. Januar 2011).</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